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210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pentadecan-15-olide, coumarin.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7,194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tetrahydro-2-isobutyl-4-methy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Fruitée. Gourmande. Oriental. balsamique.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tetrahydro-2-isobutyl-4-methy (63500-71-0)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pentadecan-15-olide (106-02-5)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tetrahydro-2-isobutyl-4-methy (63500-71-0)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de poids corporel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de poids corporel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pentadecan-15-olide (106-02-5)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1000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210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tetrahydro-2-isobutyl-4-methy (63500-71-0)</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210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tetrahydro-2-isobutyl-4-methy (63500-71-0)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pentadecan-15-olide, coumarin.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210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210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28/07/2026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266816A-7226-4B3C-AD84-1F082B691DEA}"/>
</file>

<file path=customXml/itemProps3.xml><?xml version="1.0" encoding="utf-8"?>
<ds:datastoreItem xmlns:ds="http://schemas.openxmlformats.org/officeDocument/2006/customXml" ds:itemID="{A71C6DDE-21F8-45F0-BF63-B8EBCDAB2DB2}"/>
</file>

<file path=customXml/itemProps4.xml><?xml version="1.0" encoding="utf-8"?>
<ds:datastoreItem xmlns:ds="http://schemas.openxmlformats.org/officeDocument/2006/customXml" ds:itemID="{5F3E95F8-7DB5-4090-84C3-26294971740F}"/>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