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111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Cèdre.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 (1-(1,2,3,4,5,6,7,8-octahydro-2,3,8,8-tetramethyl-2-naphthalenyl)ethanone)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 (1-(1,2,3,4,5,6,7,8-octahydro-2,3,8,8-tetramethyl-2-naphthalenyl)ethanone)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(1-(1,2,3,4,5,6,7,8-octahydro-2,3,8,8-tetramethyl-2-naphthalenyl)ethanone),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(1-(1,2,3,4,5,6,7,8-octahydro-2,3,8,8-tetramethyl-2-naphthalenyl)ethanone),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(1-(1,2,3,4,5,6,7,8-octahydro-2,3,8,8-tetramethyl-2-naphthalenyl)ethanone),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(1-(1,2,3,4,5,6,7,8-octahydro-2,3,8,8-tetramethyl-2-naphthalenyl)ethanone),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C17A0C-CAB8-4FB5-89E9-62556AF65FA1}"/>
</file>

<file path=customXml/itemProps3.xml><?xml version="1.0" encoding="utf-8"?>
<ds:datastoreItem xmlns:ds="http://schemas.openxmlformats.org/officeDocument/2006/customXml" ds:itemID="{2982CD33-513E-4F65-8AA2-49D37D48127E}"/>
</file>

<file path=customXml/itemProps4.xml><?xml version="1.0" encoding="utf-8"?>
<ds:datastoreItem xmlns:ds="http://schemas.openxmlformats.org/officeDocument/2006/customXml" ds:itemID="{2EA4F1BE-DC26-4418-86AA-404144668E3E}"/>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