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110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FORMALDEHYDE CYCLODECYL ETHYL ACETAL, methyl cedryl ether, acetyl cedrene, 1-(1,2,3,4,5,6,7,8-octahydro-2,3,8,8-tetramethyl-2-naphthyl)ethan-1-one,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(ethoxymethoxy)cyclododecane (58567-11-6), 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(ethoxymethoxy)cyclododecane (58567-11-6), 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Musqué.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(ethoxymethoxy)cyclododecane (58567-11-6)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de poids corporel Animal: rat, Animal sex: male,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de poids corporel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de poids corporel Animal: rat, Animal sex: female, Guideline: OECD Guideline 422 (Combined Repeated Dose Toxicity Study with the Reproduction / Developmental Toxicity Screening Test),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acetyl cedrene (32388-55-9)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110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(ethoxymethoxy)cyclododecane (58567-11-6)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1,6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110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(ethoxymethoxy)cyclododecane (58567-11-6)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(ethoxymethoxy)cyclododecane (58567-11-6), 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(ethoxymethoxy)cyclododecane (58567-11-6), 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(ethoxymethoxy)cyclododecane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(ethoxymethoxy)cyclododecane ; acetyl cedrene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FORMALDEHYDE CYCLODECYL ETHYL ACETAL, methyl cedryl ether, acetyl cedrene, 1-(1,2,3,4,5,6,7,8-octahydro-2,3,8,8-tetramethyl-2-naphthyl)ethan-1-one, coumarin.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110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110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8EFEBEC-86B2-443F-8203-A0BA7BFB0F1E}"/>
</file>

<file path=customXml/itemProps3.xml><?xml version="1.0" encoding="utf-8"?>
<ds:datastoreItem xmlns:ds="http://schemas.openxmlformats.org/officeDocument/2006/customXml" ds:itemID="{8B32C4DA-27E7-4C56-BDDE-4D4ADB316B29}"/>
</file>

<file path=customXml/itemProps4.xml><?xml version="1.0" encoding="utf-8"?>
<ds:datastoreItem xmlns:ds="http://schemas.openxmlformats.org/officeDocument/2006/customXml" ds:itemID="{5E97F7EA-EDA8-44F3-A568-3E68FFCAE4BE}"/>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