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109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linalyl acetate, 3,7-dimethylnona-1,6-dien-3-ol, linalool, LIMONENE.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aromatique. Boisé.</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9000 mg/kg de poids corporel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109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109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linalyl acetate (115-95-7)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linalyl acetate ; linalool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linalyl acetate, 3,7-dimethylnona-1,6-dien-3-ol, linalool, LIMONENE.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109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109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27/07/2026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3A4BCC5-374C-46D7-98B4-784A6384E9FB}"/>
</file>

<file path=customXml/itemProps3.xml><?xml version="1.0" encoding="utf-8"?>
<ds:datastoreItem xmlns:ds="http://schemas.openxmlformats.org/officeDocument/2006/customXml" ds:itemID="{4D9D167F-DCCC-458B-9345-C1ACBB11C373}"/>
</file>

<file path=customXml/itemProps4.xml><?xml version="1.0" encoding="utf-8"?>
<ds:datastoreItem xmlns:ds="http://schemas.openxmlformats.org/officeDocument/2006/customXml" ds:itemID="{654C90C3-ACC4-49A0-A2A3-6F92F5F875BA}"/>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