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Identificateur de produit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Forme du produit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Mélange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Liquide vaisselle - pêche et coco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</w:t>
      </w:r>
    </w:p>
    <w:p w:rsidR="001732DA" w:rsidRPr="008A54B3" w:rsidP="008A54B3" w14:paraId="5EE363D7" w14:textId="77777777">
      <w:pPr>
        <w:pStyle w:val="SDSTextNormal"/>
      </w:pPr>
      <w:r w:rsidRPr="008A54B3">
        <w:rPr>
          <w:noProof/>
        </w:rPr>
        <w:t>LAB SAS Word</w:t>
      </w:r>
    </w:p>
    <w:p w:rsidR="001732DA" w:rsidRPr="008A54B3" w:rsidP="008A54B3" w14:paraId="547A0B91" w14:textId="77777777">
      <w:pPr>
        <w:pStyle w:val="SDSTextNormal"/>
      </w:pPr>
      <w:r w:rsidRPr="008A54B3">
        <w:rPr>
          <w:noProof/>
        </w:rPr>
        <w:t>1 rue de la clef des champs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>68600 Volgelsheim - France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Composants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COUMARIN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GERANIOL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Détergents, fiche des ingrédients du consommateur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08.09.2026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FR_IDS_Liquide vaisselle - pêche et coco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Liquide vaisselle - pêche et coco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Fiche des ingrédients pour le consommateur, Règlementation (CE) No.648/2004, Annexe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C92977-9B37-46C8-9B91-043D49534110}"/>
</file>

<file path=customXml/itemProps3.xml><?xml version="1.0" encoding="utf-8"?>
<ds:datastoreItem xmlns:ds="http://schemas.openxmlformats.org/officeDocument/2006/customXml" ds:itemID="{9CAB0CCD-5F5F-4B52-BACE-E196B5A80040}"/>
</file>

<file path=customXml/itemProps4.xml><?xml version="1.0" encoding="utf-8"?>
<ds:datastoreItem xmlns:ds="http://schemas.openxmlformats.org/officeDocument/2006/customXml" ds:itemID="{9658ED53-B9C3-408A-B1DE-3805E4BC1BF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