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3.xml" ContentType="application/xml"/>
  <Override PartName="/customXml/item1.xml" ContentType="application/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2a5f0c6a30aa4e48"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45348"/>
                <wp:effectExtent l="0" t="0" r="0" b="0"/>
                <wp:wrapNone/>
                <wp:docPr id="942" name="Rectangle 942"/>
                <wp:cNvGraphicFramePr/>
                <a:graphic xmlns:a="http://schemas.openxmlformats.org/drawingml/2006/main">
                  <a:graphicData uri="http://schemas.microsoft.com/office/word/2010/wordprocessingShape">
                    <wps:wsp>
                      <wps:cNvSpPr/>
                      <wps:spPr bwMode="auto">
                        <a:xfrm>
                          <a:off x="541800" y="1205640"/>
                          <a:ext cx="6508440" cy="8345348"/>
                        </a:xfrm>
                        <a:prstGeom prst="rect">
                          <a:avLst/>
                        </a:prstGeom>
                        <a:ln w="0" cap="sq" cmpd="sng">
                          <a:noFill/>
                          <a:miter lim="800000"/>
                        </a:ln>
                      </wps:spPr>
                      <wps:txbx id="1">
                        <w:txbxContent>
                          <w:tbl>
                            <w:tblPr>
                              <w:tblLayout w:type="fixed"/>
                              <w:tblInd w:w="0" w:type="dxa"/>
                              <w:tblCellMar>
                                <w:left w:w="0" w:type="dxa"/>
                                <w:right w:w="0" w:type="dxa"/>
                              </w:tblCellMar>
                            </w:tblPr>
                            <w:tblGrid>
                              <w:gridCol w:w="2268"/>
                              <w:gridCol w:w="226"/>
                              <w:gridCol w:w="100"/>
                              <w:gridCol w:w="510"/>
                              <w:gridCol w:w="2608"/>
                              <w:gridCol w:w="4480"/>
                            </w:tblGrid>
                            <w:tr>
                              <w:trPr>
                                <w:trHeight w:val="270" w:hRule="atLeast"/>
                              </w:trPr>
                              <w:tc>
                                <w:tcPr>
                                  <w:tcW w:w="10144" w:type="dxa"/>
                                  <w:gridSpan w:val="6"/>
                                  <w:tcBorders>
                                    <w:top w:val="single" w:color="D92A33" w:sz="4"/>
                                    <w:left w:val="nil" w:color="000000" w:sz="0"/>
                                    <w:bottom w:val="single" w:color="D92A33" w:sz="4"/>
                                    <w:right w:val="nil" w:color="000000" w:sz="0"/>
                                  </w:tcBorders>
                                  <w:shd w:val="clear" w:color="auto" w:fill="FBFBFB"/>
                                  <w:tcMar>
                                    <w:top w:w="56" w:type="dxa"/>
                                    <w:left w:w="56" w:type="dxa"/>
                                    <w:bottom w:w="56"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 Identification de la substance/du mélange et de la société/l’entreprise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1.1 - Identificateur de produit</w:t>
                                  </w:r>
                                </w:p>
                              </w:tc>
                            </w:tr>
                            <w:tr>
                              <w:trPr>
                                <w:trHeight w:val="456"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Nom commercial du produit/désignation</w:t>
                                  </w:r>
                                </w:p>
                              </w:tc>
                              <w:tc>
                                <w:tcPr>
                                  <w:tcW w:w="7876"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BOUGIE MENTHE ET CHOCOLAT 1725168 10%</w:t>
                                  </w:r>
                                </w:p>
                              </w:tc>
                            </w:tr>
                            <w:tr>
                              <w:trPr>
                                <w:trHeight w:val="228"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Nom chimique</w:t>
                                  </w:r>
                                </w:p>
                              </w:tc>
                              <w:tc>
                                <w:tcPr>
                                  <w:tcW w:w="7876"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8"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Type de produit</w:t>
                                  </w:r>
                                </w:p>
                              </w:tc>
                              <w:tc>
                                <w:tcPr>
                                  <w:tcW w:w="7876"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Mélange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1.2 - Utilisations identifiées pertinentes de la substance ou du mélange et utilisations déconseillées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5666"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Utilisations identifiées pertinentes</w:t>
                                  </w:r>
                                </w:p>
                              </w:tc>
                              <w:tc>
                                <w:tcPr>
                                  <w:tcW w:w="4474"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Bougie parfumée à destination du grand public</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1.3 - Renseignements concernant le fournisseur de la fiche de données de sécurité</w:t>
                                  </w:r>
                                </w:p>
                              </w:tc>
                            </w:tr>
                            <w:tr>
                              <w:trPr>
                                <w:trHeight w:val="91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LAB SAS</w:t>
                                  </w:r>
                                </w:p>
                                <w:p>
                                  <w:pPr>
                                    <w:spacing w:before="0" w:after="0" w:line="220" w:lineRule="exact"/>
                                    <w:jc w:val="left"/>
                                  </w:pPr>
                                  <w:r>
                                    <w:rPr>
                                      <w:rFonts w:ascii="Arial" w:hAnsi="Arial" w:cs="Arial"/>
                                      <w:b w:val="false"/>
                                      <w:i w:val="false"/>
                                      <w:strike w:val="false"/>
                                      <w:color w:val="000000"/>
                                      <w:spacing w:val="0"/>
                                      <w:sz w:val="20"/>
                                      <w:u w:val="none"/>
                                    </w:rPr>
                                    <w:t xml:space="preserve">1, rue de la clé des champs</w:t>
                                  </w:r>
                                </w:p>
                                <w:p>
                                  <w:pPr>
                                    <w:spacing w:before="0" w:after="0" w:line="220" w:lineRule="exact"/>
                                    <w:jc w:val="left"/>
                                  </w:pPr>
                                  <w:r>
                                    <w:rPr>
                                      <w:rFonts w:ascii="Arial" w:hAnsi="Arial" w:cs="Arial"/>
                                      <w:b w:val="false"/>
                                      <w:i w:val="false"/>
                                      <w:strike w:val="false"/>
                                      <w:color w:val="000000"/>
                                      <w:spacing w:val="0"/>
                                      <w:sz w:val="20"/>
                                      <w:u w:val="none"/>
                                    </w:rPr>
                                    <w:t xml:space="preserve">68600 Volgelsheim France</w:t>
                                  </w:r>
                                </w:p>
                                <w:p>
                                  <w:pPr>
                                    <w:spacing w:before="0" w:after="0" w:line="220" w:lineRule="exact"/>
                                    <w:jc w:val="left"/>
                                  </w:pPr>
                                  <w:r>
                                    <w:rPr>
                                      <w:rFonts w:ascii="Arial" w:hAnsi="Arial" w:cs="Arial"/>
                                      <w:b w:val="false"/>
                                      <w:i w:val="false"/>
                                      <w:strike w:val="false"/>
                                      <w:color w:val="000000"/>
                                      <w:spacing w:val="0"/>
                                      <w:sz w:val="20"/>
                                      <w:u w:val="none"/>
                                    </w:rPr>
                                    <w:t xml:space="preserve">Téléphone : 03 89 22 77 65</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1.4 - Numéro d’appel d’urgence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ORFILA (INRS) + 33 (0)1 45 42 59 59 France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2: Identification des dangers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2.1 - Classification de la substance ou du mélange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Classification selon règlement (CE) N° 1272/2008 [CLP]</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2546"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Chronic 3</w:t>
                                  </w:r>
                                </w:p>
                              </w:tc>
                              <w:tc>
                                <w:tcPr>
                                  <w:tcW w:w="759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Danger pour l'environnement aquatique - Aquatic Chronic 3</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2.2 - Éléments d'étiquetage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étiquetage selon le règlement (CE) N° 1272/2008 [CLP]</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Mention d'avertissement</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w:t>
                                  </w: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w:t>
                                  </w: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Pictogrammes</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w:t>
                                  </w: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w:t>
                                  </w: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Mentions de danger</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H412</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Nocif pour les organismes aquatiques, entraîne des effets néfastes à long terme.</w:t>
                                  </w: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Conseils de prudence</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P101</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En cas de consultation d'un médecin, garder à disposition le récipient ou l'étiquette.</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P102</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Tenir hors de portée des enfants.</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P103</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Lire l'étiquette avant utilisation.</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P273</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Éviter le rejet dans l'environnement.</w:t>
                                  </w:r>
                                </w:p>
                              </w:tc>
                            </w:tr>
                            <w:tr>
                              <w:trPr>
                                <w:trHeight w:val="446"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P501</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Éliminer le récipient dans une installation de recyclage ou d'élimination des déchets approuvée.</w:t>
                                  </w: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Phrases EUH</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6"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EUH208</w:t>
                                  </w:r>
                                </w:p>
                              </w:tc>
                              <w:tc>
                                <w:tcPr>
                                  <w:tcW w:w="7650" w:type="dxa"/>
                                  <w:gridSpan w:val="4"/>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Contient isomenthone (491-07-6) | p-menthan-3-one (menthone) (10458-14-7) . Peut produire une réaction allergique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2.3 - Autres dangers</w:t>
                                  </w:r>
                                </w:p>
                              </w:tc>
                            </w:tr>
                          </w:tbl>
                          <w:tbl>
                            <w:tblPr>
                              <w:tblLayout w:type="fixed"/>
                              <w:tblInd w:w="0" w:type="dxa"/>
                              <w:tblCellMar>
                                <w:left w:w="0" w:type="dxa"/>
                                <w:right w:w="0" w:type="dxa"/>
                              </w:tblCellMar>
                            </w:tblPr>
                            <w:tblGrid>
                              <w:gridCol w:w="2268"/>
                              <w:gridCol w:w="2268"/>
                              <w:gridCol w:w="1078"/>
                              <w:gridCol w:w="2268"/>
                              <w:gridCol w:w="2268"/>
                            </w:tblGrid>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Substance PBT.</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matière vPvB.</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5"/>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3: Composition / informations sur les composants</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3.1 - Substances</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Non applicable</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3.2 - Mélanges</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70"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Nom chimique</w:t>
                                  </w:r>
                                </w:p>
                              </w:tc>
                              <w:tc>
                                <w:tcPr>
                                  <w:tcW w:w="2264" w:type="dxa"/>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Classe(s)</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Concentration spécifiques</w:t>
                                  </w:r>
                                </w:p>
                              </w:tc>
                            </w:tr>
                            <w:tr>
                              <w:trPr>
                                <w:trHeight w:val="70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benzyl benzoate</w:t>
                                  </w:r>
                                </w:p>
                              </w:tc>
                              <w:tc>
                                <w:tcPr>
                                  <w:tcW w:w="2264" w:type="dxa"/>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n°CAS : 120-51-4</w:t>
                                  </w:r>
                                </w:p>
                                <w:p>
                                  <w:pPr>
                                    <w:spacing w:before="0" w:after="0" w:line="180" w:lineRule="exact"/>
                                    <w:jc w:val="left"/>
                                  </w:pPr>
                                  <w:r>
                                    <w:rPr>
                                      <w:rFonts w:ascii="Arial" w:hAnsi="Arial" w:cs="Arial"/>
                                      <w:b w:val="false"/>
                                      <w:i w:val="false"/>
                                      <w:strike w:val="false"/>
                                      <w:color w:val="000000"/>
                                      <w:spacing w:val="0"/>
                                      <w:sz w:val="16"/>
                                      <w:u w:val="none"/>
                                    </w:rPr>
                                    <w:t xml:space="preserve">Numéro d´identification UE : 607-085-00-9</w:t>
                                  </w:r>
                                </w:p>
                                <w:p>
                                  <w:pPr>
                                    <w:spacing w:before="0" w:after="0" w:line="180" w:lineRule="exact"/>
                                    <w:jc w:val="left"/>
                                  </w:pPr>
                                  <w:r>
                                    <w:rPr>
                                      <w:rFonts w:ascii="Arial" w:hAnsi="Arial" w:cs="Arial"/>
                                      <w:b w:val="false"/>
                                      <w:i w:val="false"/>
                                      <w:strike w:val="false"/>
                                      <w:color w:val="000000"/>
                                      <w:spacing w:val="0"/>
                                      <w:sz w:val="16"/>
                                      <w:u w:val="none"/>
                                    </w:rPr>
                                    <w:t xml:space="preserve">N°CE : 204-402-9</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3,831</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Acute Tox. 4 Oral - H302</w:t>
                                  </w:r>
                                </w:p>
                                <w:p>
                                  <w:pPr>
                                    <w:spacing w:before="0" w:after="0" w:line="180" w:lineRule="exact"/>
                                    <w:jc w:val="left"/>
                                  </w:pPr>
                                  <w:r>
                                    <w:rPr>
                                      <w:rFonts w:ascii="Arial" w:hAnsi="Arial" w:cs="Arial"/>
                                      <w:b w:val="false"/>
                                      <w:i w:val="false"/>
                                      <w:strike w:val="false"/>
                                      <w:color w:val="000000"/>
                                      <w:spacing w:val="0"/>
                                      <w:sz w:val="16"/>
                                      <w:u w:val="none"/>
                                    </w:rPr>
                                    <w:t xml:space="preserve">Aquatic Acute 1 - H400</w:t>
                                  </w:r>
                                </w:p>
                                <w:p>
                                  <w:pPr>
                                    <w:spacing w:before="0" w:after="0" w:line="180" w:lineRule="exact"/>
                                    <w:jc w:val="left"/>
                                  </w:pPr>
                                  <w:r>
                                    <w:rPr>
                                      <w:rFonts w:ascii="Arial" w:hAnsi="Arial" w:cs="Arial"/>
                                      <w:b w:val="false"/>
                                      <w:i w:val="false"/>
                                      <w:strike w:val="false"/>
                                      <w:color w:val="000000"/>
                                      <w:spacing w:val="0"/>
                                      <w:sz w:val="16"/>
                                      <w:u w:val="none"/>
                                    </w:rPr>
                                    <w:t xml:space="preserve">Aquatic Chronic 2 - H411</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Facteur M: 1 / 1</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p-menthan-3-one (menthone)</w:t>
                                  </w:r>
                                </w:p>
                              </w:tc>
                              <w:tc>
                                <w:tcPr>
                                  <w:tcW w:w="2264" w:type="dxa"/>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n°CAS : 10458-14-7</w:t>
                                  </w:r>
                                </w:p>
                                <w:p>
                                  <w:pPr>
                                    <w:spacing w:before="0" w:after="0" w:line="18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80" w:lineRule="exact"/>
                                    <w:jc w:val="left"/>
                                  </w:pPr>
                                  <w:r>
                                    <w:rPr>
                                      <w:rFonts w:ascii="Arial" w:hAnsi="Arial" w:cs="Arial"/>
                                      <w:b w:val="false"/>
                                      <w:i w:val="false"/>
                                      <w:strike w:val="false"/>
                                      <w:color w:val="000000"/>
                                      <w:spacing w:val="0"/>
                                      <w:sz w:val="16"/>
                                      <w:u w:val="none"/>
                                    </w:rPr>
                                    <w:t xml:space="preserve">N°CE : 233-944-9</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0,227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Skin Irrit. 2 - H315</w:t>
                                  </w:r>
                                </w:p>
                                <w:p>
                                  <w:pPr>
                                    <w:spacing w:before="0" w:after="0" w:line="18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Non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isomenthone</w:t>
                                  </w:r>
                                </w:p>
                              </w:tc>
                              <w:tc>
                                <w:tcPr>
                                  <w:tcW w:w="2264" w:type="dxa"/>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n°CAS : 491-07-6</w:t>
                                  </w:r>
                                </w:p>
                                <w:p>
                                  <w:pPr>
                                    <w:spacing w:before="0" w:after="0" w:line="18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80" w:lineRule="exact"/>
                                    <w:jc w:val="left"/>
                                  </w:pPr>
                                  <w:r>
                                    <w:rPr>
                                      <w:rFonts w:ascii="Arial" w:hAnsi="Arial" w:cs="Arial"/>
                                      <w:b w:val="false"/>
                                      <w:i w:val="false"/>
                                      <w:strike w:val="false"/>
                                      <w:color w:val="000000"/>
                                      <w:spacing w:val="0"/>
                                      <w:sz w:val="16"/>
                                      <w:u w:val="none"/>
                                    </w:rPr>
                                    <w:t xml:space="preserve">N°CE : 207-727-4</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0,125</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Skin Irrit. 2 - H315</w:t>
                                  </w:r>
                                </w:p>
                                <w:p>
                                  <w:pPr>
                                    <w:spacing w:before="0" w:after="0" w:line="18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Non applicable</w:t>
                                  </w:r>
                                </w:p>
                              </w:tc>
                            </w:tr>
                            <w:tr>
                              <w:trPr>
                                <w:trHeight w:val="284"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5"/>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4: Premiers secours</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4.1 - Description des premiers secours</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En cas d'inhalation</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Veiller à un apport d'air frais.</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Après contact avec la peau</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Après contact avec la peau, se laver immédiatement et abondamment avec eau et savon.</w:t>
                                  </w: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en cas de réactions cutanées, consulter un médecin.</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Après contact avec les yeux</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Rincer soigneusement et abondamment avec une douche oculaire ou de l'eau.</w:t>
                                  </w: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En cas d'irritation oculaire, consulter un ophtalmologue.</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En cas d'ingestion</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Rincer la bouche abondamment à l'eau.</w:t>
                                  </w: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NE PAS faire vomir.</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4.2 - Principaux symptômes et effets, aigus et différés</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Symptômes et effets - En cas d'inhalation</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Symptômes et effets - Après contact avec la  peau</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Provoque une irritation cutanée.</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Symptômes et effets - Après contact avec les  yeux</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Provoque une irritation des yeux.</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Symptômes et effets - En cas d'ingestion</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4.3 - Indication des éventuels soins médicaux immédiats et traitements particuliers nécessaires</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5"/>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5: Mesures de lutte contre l'incendie</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5.1 - Moyen d'extinction</w:t>
                                  </w:r>
                                </w:p>
                              </w:tc>
                            </w:tr>
                          </w:tbl>
                          <w:tbl>
                            <w:tblPr>
                              <w:tblLayout w:type="fixed"/>
                              <w:tblInd w:w="0" w:type="dxa"/>
                              <w:tblCellMar>
                                <w:left w:w="0" w:type="dxa"/>
                                <w:right w:w="0" w:type="dxa"/>
                              </w:tblCellMar>
                            </w:tblPr>
                            <w:tblGrid>
                              <w:gridCol w:w="4536"/>
                              <w:gridCol w:w="5614"/>
                            </w:tblGrid>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Moyens d'extinction appropriés</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ABC-poudre</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Dioxyde de carbone (CO2)</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Mousse</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Poudre d'extinction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Moyens d'extinction inappropriés</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Jet d'eau à grand débit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5.2 - Dangers particuliers résultant de la substance ou du mélange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Dangers particuliers résultant de la substance ou du mélange</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Produits de décomposition dangereux</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5.3 - Conseils aux pompiers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Adapter les mesures d'extinction au milieu environnant</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6: Mesures à prendre en cas de dispersion accidentelle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6.1 - Précautions individuelles, équipement de protection et procédures d’urgence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Pour les non-secouristes</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Assurer une aération suffisante.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Pour les secouristes</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6.2 - Précautions pour la protection de l’environnement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Ne pas laisser s'écouler dans les canalisations ni dans les eaux courantes.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6.3 - Méthodes et matériel de confinement et de nettoyage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Méthodes et matériel de confinement</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Traiter le matériau recueilli conformément à la section Elimination.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Méthodes et matériel de nettoyage</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Recueillir mécaniquement.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Techniques inappropriées</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6.4 - Référence à d'autres sections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Protection individuelle: voir rubrique 8</w:t>
                                  </w: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Evacuation: voir rubrique 13</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7: Manipulation et stockage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7.1 - Précautions à prendre pour une manipulation sans danger</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Recommandation</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Éviter de: Contact avec les yeux</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Éviter de: Contact avec la peau</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Notice explicative sur l'hygiène industrielle  générale</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7.2 - Conditions d’un stockage sûr, y compris d’éventuelles incompatibilités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Protéger contre:Forte chaleur</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7.3 - Utilisation(s) finale(s) particulière(s)</w:t>
                                  </w:r>
                                </w:p>
                              </w:tc>
                            </w:tr>
                          </w:tbl>
                          <w:tbl>
                            <w:tblPr>
                              <w:tblLayout w:type="fixed"/>
                              <w:tblInd w:w="0" w:type="dxa"/>
                              <w:tblCellMar>
                                <w:left w:w="0" w:type="dxa"/>
                                <w:right w:w="0" w:type="dxa"/>
                              </w:tblCellMar>
                            </w:tblPr>
                            <w:tblGrid>
                              <w:gridCol w:w="2552"/>
                              <w:gridCol w:w="1984"/>
                              <w:gridCol w:w="568"/>
                              <w:gridCol w:w="2552"/>
                              <w:gridCol w:w="568"/>
                              <w:gridCol w:w="1928"/>
                            </w:tblGrid>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Bougie parfumée à destination du grand public</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8: Contrôles de l’exposition/protection individuelle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8.1 - Paramètres de contrôle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8.2 - Contrôle de l'exposition</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Contrôles techniques appropriés</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Le produit est stable si stocké à des températures ambiantes normales.</w:t>
                                  </w: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Assurer une aération suffisante.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exac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Mesures de protection individuelle, telles que les  équipements de protection individuelle</w:t>
                                  </w:r>
                                </w:p>
                              </w:tc>
                              <w:tc>
                                <w:tcPr>
                                  <w:tcW w:w="368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Éviter tout contact avec les yeux, la peau ou les vêtements.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Contrôles d'exposition liés à la protection de  l'environnement</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Éviter le rejet dans l'environnement.</w:t>
                                  </w: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Ne pas jeter les résidus à l'égout.</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9: Propriétés physiques et chimiques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9.1 - Informations sur les propriétés physiques et chimiques essentielles</w:t>
                                  </w:r>
                                </w:p>
                              </w:tc>
                            </w:tr>
                            <w:tr>
                              <w:trPr>
                                <w:trHeight w:val="170"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546"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État</w:t>
                                  </w:r>
                                </w:p>
                              </w:tc>
                              <w:tc>
                                <w:tcPr>
                                  <w:tcW w:w="2546"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Solide</w:t>
                                  </w:r>
                                </w:p>
                              </w:tc>
                              <w:tc>
                                <w:tcPr>
                                  <w:tcW w:w="254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Aspect</w:t>
                                  </w:r>
                                </w:p>
                              </w:tc>
                              <w:tc>
                                <w:tcPr>
                                  <w:tcW w:w="249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Solide</w:t>
                                  </w:r>
                                </w:p>
                              </w:tc>
                            </w:tr>
                            <w:tr>
                              <w:trPr>
                                <w:trHeight w:val="228" w:hRule="atLeast"/>
                              </w:trPr>
                              <w:tc>
                                <w:tcPr>
                                  <w:tcW w:w="2546"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Couleur</w:t>
                                  </w:r>
                                </w:p>
                              </w:tc>
                              <w:tc>
                                <w:tcPr>
                                  <w:tcW w:w="2546"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Blanc</w:t>
                                  </w:r>
                                </w:p>
                              </w:tc>
                              <w:tc>
                                <w:tcPr>
                                  <w:tcW w:w="254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Odeur</w:t>
                                  </w:r>
                                </w:p>
                              </w:tc>
                              <w:tc>
                                <w:tcPr>
                                  <w:tcW w:w="249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caractéristique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Seuil olfactif</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pH</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Point de fusion</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Point de congélation</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Point d'ébullition</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Point éclair</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&gt; 100 °C</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Taux d'évaporation</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inflammabilité</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Limite inférieure d’explosivité</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Limite supérieure d'explosivité</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Pression de la vapeur</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Densité de la vapeur</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Densité relative</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Densité</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Solubilité (Eau)</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Solubilité (Ethanol)</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Solubilité (Acétone)</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Solubilité (Solvants organiques)</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Log KOW</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Température d’auto-inflammabilité</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Température de décomposition</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Viscosité, cinématique</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Viscosité, dynamique</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Caractéristiques des particules</w:t>
                                  </w:r>
                                </w:p>
                              </w:tc>
                            </w:tr>
                          </w:tbl>
                          <w:tbl>
                            <w:tblPr>
                              <w:tblLayout w:type="fixed"/>
                              <w:tblInd w:w="0" w:type="dxa"/>
                              <w:tblCellMar>
                                <w:left w:w="0" w:type="dxa"/>
                                <w:right w:w="0" w:type="dxa"/>
                              </w:tblCellMar>
                            </w:tblPr>
                            <w:tblGrid>
                              <w:gridCol w:w="2836"/>
                              <w:gridCol w:w="2268"/>
                              <w:gridCol w:w="2268"/>
                              <w:gridCol w:w="2778"/>
                            </w:tblGrid>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Taille des particules</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9.2 - Autres informations</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Teneur en COV</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Energie minimale d'ignition</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Conductivité</w:t>
                                  </w:r>
                                </w:p>
                              </w:tc>
                              <w:tc>
                                <w:tcPr>
                                  <w:tcW w:w="504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84"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4"/>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10: Stabilité et réactivité</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10.1 - Réactivité</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Ce produit est considéré comme non réactif dans des conditions normales d'utilisation.</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10.2 - Stabilité chimique</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Le produit est stable si stocké à des températures ambiantes normales.</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10.3 - Possibilité de réactions dangereuses</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Des réactions dangereuses ne se produisent pas si utilisé et stocké correctement.</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10.4 - Conditions à éviter</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10.5 - Matières incompatibles</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10.6 - Produits de décomposition dangereux</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Ne se décompose pas si utilisé dans les conditions prevues.</w:t>
                                  </w:r>
                                </w:p>
                              </w:tc>
                            </w:tr>
                            <w:tr>
                              <w:trPr>
                                <w:trHeight w:val="284"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4"/>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11: Informations toxicologiques</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11.1 - Informations sur les effets toxicologiques</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Toxicité aiguë</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Toxicité : Mélange</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LD50 oral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LD50 dermal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LD50 dermal (rabbit)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LC50 inhalation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LC50 inhalation dusts and mists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gridSpan w:val="2"/>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LC50 inhalation vapours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Compte tenu des données disponibles, les critères de classification ne sont pas remplis.</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Corrosion cutanée/irritation  cutanée</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Irritant pour la peau.</w:t>
                                  </w:r>
                                </w:p>
                              </w:tc>
                            </w:tr>
                            <w:tr>
                              <w:trPr>
                                <w:trHeight w:val="113" w:hRule="exact"/>
                              </w:trPr>
                              <w:tc>
                                <w:tcPr>
                                  <w:tcW w:w="-4" w:type="dxa"/>
                                  <w:gridSpan w:val="4"/>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Lésions oculaires  graves/irritation oculaire</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bl>
                          <w:tbl>
                            <w:tblPr>
                              <w:tblLayout w:type="fixed"/>
                              <w:tblInd w:w="0" w:type="dxa"/>
                              <w:tblCellMar>
                                <w:left w:w="0" w:type="dxa"/>
                                <w:right w:w="0" w:type="dxa"/>
                              </w:tblCellMar>
                            </w:tblPr>
                            <w:tblGrid>
                              <w:gridCol w:w="2836"/>
                              <w:gridCol w:w="2268"/>
                              <w:gridCol w:w="5046"/>
                            </w:tblGrid>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Irritant pour les yeux.</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Sensibilisation respiratoire ou  cutanée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Peut entraîner une sensibilisation par contact avec la peau.</w:t>
                                  </w: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Peut provoquer une allergie cutanée.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Mutagénicité sur les cellules  germinales</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Cancerogénité</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Toxicité pour la reproduction</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84"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Toxicité spécifique pour  certains organes cibles —  exposition unique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84"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Toxicité spécifique pour  certains organes cibles –  exposition répétée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Danger par aspiration</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11.2 - Informations sur les autres dangers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12: Informations écologiques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12.1 - Toxicité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Toxicité : Mélange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EC50 48 hr crustacea</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LC50 96 hr fish</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ErC50 algae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ErC50 other aquatic plants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NOEC chronic fish</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NOEC chronic crustacea</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NOEC chronic algae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NOEC chronic other aquatic plants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Très toxique pour les organismes aquatiques, entraîne des effets néfastes à long terme.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12.2 - Persistance et dégradabilité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Demande biochimique en oxygène (DBO)</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Demande chimique en oxygène (DCO)</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de biodégradation en 28 jours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12.3 - Potentiel de bioaccumulation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Facteur de bioconcentration (FBC)</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Log KOW</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bl>
                          <w:tbl>
                            <w:tblPr>
                              <w:tblLayout w:type="fixed"/>
                              <w:tblInd w:w="0" w:type="dxa"/>
                              <w:tblCellMar>
                                <w:left w:w="0" w:type="dxa"/>
                                <w:right w:w="0" w:type="dxa"/>
                              </w:tblCellMar>
                            </w:tblPr>
                            <w:tblGrid>
                              <w:gridCol w:w="4536"/>
                              <w:gridCol w:w="5614"/>
                            </w:tblGrid>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indication relative à un potentiel de bioaccumulation.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12.4 - Mobilité dans le sol</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12.5 - Résultats des évaluations PBT et vPvB</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12.6 - Propriétés perturbant le système endocrinien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12.7 - Autres effets nocifs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13: Considérations relatives à l'élimination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13.1 - Méthodes de traitement des déchets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Méthodes de traitement des déchets</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L'élimination doit se faire selon les prescriptions des autorités locales.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Evacuation des eaux</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Précautions particulières à prendre</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Disposition Communautaire ou Nationale ou  Régionale</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14: Informations relatives au transport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14.1 - Numéro ONU</w:t>
                                  </w: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Non applicable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14.2 - Nom d’expédition des Nations unies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14.3 - Classe(s) de danger pour le transport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14.4 - Groupe d'emballage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14.5 - Dangers pour l’environnement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14.6 - Précautions particulières à prendre par l’utilisateur</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14.7 - Transport en vrac conformément à l’annexe II de la convention Marpol 73/78 et au recueil IBC</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applicable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15: Informations réglementaires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504"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15.1 - Réglementations/législation particulières à la substance ou au mélange en matière de sécurité, de santé et d’environnement</w:t>
                                  </w:r>
                                </w:p>
                              </w:tc>
                            </w:tr>
                          </w:tbl>
                          <w:tbl>
                            <w:tblPr>
                              <w:tblLayout w:type="fixed"/>
                              <w:tblInd w:w="0" w:type="dxa"/>
                              <w:tblCellMar>
                                <w:left w:w="0" w:type="dxa"/>
                                <w:right w:w="0" w:type="dxa"/>
                              </w:tblCellMar>
                            </w:tblPr>
                            <w:tblGrid>
                              <w:gridCol w:w="964"/>
                              <w:gridCol w:w="738"/>
                              <w:gridCol w:w="510"/>
                              <w:gridCol w:w="624"/>
                              <w:gridCol w:w="568"/>
                              <w:gridCol w:w="1078"/>
                              <w:gridCol w:w="5670"/>
                            </w:tblGrid>
                            <w:tr>
                              <w:trPr>
                                <w:trHeight w:val="456"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Substances REACH  candidates</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w:t>
                                  </w:r>
                                </w:p>
                              </w:tc>
                            </w:tr>
                            <w:tr>
                              <w:trPr>
                                <w:trHeight w:val="228"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Substances Annex XIV</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w:t>
                                  </w:r>
                                </w:p>
                              </w:tc>
                            </w:tr>
                            <w:tr>
                              <w:trPr>
                                <w:trHeight w:val="228"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Substances Annex XVII</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Teneur en COV</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Parfums : 5% ou plus, mais moins de 15%</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15.2 - Évaluation de la sécurité chimique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Evaluation de la sécurité chimique  effectuée pour le produit</w:t>
                                  </w: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7"/>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16: Autres informations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Versions de la FDS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6" w:hRule="atLeast"/>
                              </w:trPr>
                              <w:tc>
                                <w:tcPr>
                                  <w:tcW w:w="958" w:type="dxa"/>
                                  <w:tcBorders>
                                    <w:top w:val="single" w:color="666666" w:sz="4"/>
                                    <w:left w:val="single" w:color="666666" w:sz="4"/>
                                    <w:bottom w:val="single" w:color="666666" w:sz="4"/>
                                    <w:right w:val="single" w:color="666666" w:sz="4"/>
                                  </w:tcBorders>
                                  <w:shd w:val="clear" w:color="auto" w:fill="CCCCCC"/>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Version</w:t>
                                  </w:r>
                                </w:p>
                              </w:tc>
                              <w:tc>
                                <w:tcPr>
                                  <w:tcW w:w="1242" w:type="dxa"/>
                                  <w:gridSpan w:val="2"/>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Date d'émission</w:t>
                                  </w:r>
                                </w:p>
                              </w:tc>
                              <w:tc>
                                <w:tcPr>
                                  <w:tcW w:w="2264" w:type="dxa"/>
                                  <w:gridSpan w:val="3"/>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Auteur</w:t>
                                  </w:r>
                                </w:p>
                              </w:tc>
                              <w:tc>
                                <w:tcPr>
                                  <w:tcW w:w="5666" w:type="dxa"/>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Description des modifications</w:t>
                                  </w:r>
                                </w:p>
                              </w:tc>
                            </w:tr>
                            <w:tr>
                              <w:trPr>
                                <w:trHeight w:val="229" w:hRule="atLeast"/>
                              </w:trPr>
                              <w:tc>
                                <w:tcPr>
                                  <w:tcW w:w="958"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1</w:t>
                                  </w:r>
                                </w:p>
                              </w:tc>
                              <w:tc>
                                <w:tcPr>
                                  <w:tcW w:w="1242" w:type="dxa"/>
                                  <w:gridSpan w:val="2"/>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22/04/2021</w:t>
                                  </w:r>
                                </w:p>
                              </w:tc>
                              <w:tc>
                                <w:tcPr>
                                  <w:tcW w:w="2264" w:type="dxa"/>
                                  <w:gridSpan w:val="3"/>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5666"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Textes des phrases réglementaires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Acute Tox. 4 Oral</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Toxicité aiguë (par voie orale) - Catégorie 4</w:t>
                                  </w: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Acute 1</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Danger pour l'environnement aquatique - Aquatic Acute 1</w:t>
                                  </w:r>
                                </w:p>
                              </w:tc>
                            </w:tr>
                            <w:tr>
                              <w:trPr>
                                <w:trHeight w:val="457"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Chronic 2</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Danger pour l'environnement aquatique - Aquatic Chronic 2</w:t>
                                  </w:r>
                                </w:p>
                              </w:tc>
                            </w:tr>
                            <w:tr>
                              <w:trPr>
                                <w:trHeight w:val="457"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Chronic 3</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Danger pour l'environnement aquatique - Aquatic Chronic 3</w:t>
                                  </w: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H412</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Nocif pour les organismes aquatiques, entraîne des effets néfastes à long terme.</w:t>
                                  </w: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Irrit. 2</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Irritation cutanée - Catégorie 2</w:t>
                                  </w: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Sens. 1B</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Sensibilisation cutanée - Catégorie 1B</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596"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Les renseignements contenus dans cette fiche sont basés sur l’état de nos connaissances relatives au produit concerné, à la date indiquée. Le but de cette Fiche de Données de Sécurité est de fournir des informations à l’utilisateur, pour lui permettre d’évaluer les risques pour la sécurité et la santé lors du transport, du stockage ou de l’utilisation du produit sur le lieu de travail. L’attention des utilisateurs est en outre attirée sur les risques éventuels encourus lorsqu’un produit est utilisé à d’autres usages que celui pour lequel il est conçu.</w:t>
                                  </w:r>
                                </w:p>
                                <w:p>
                                  <w:pPr>
                                    <w:spacing w:before="0" w:after="0" w:line="220" w:lineRule="exact"/>
                                    <w:jc w:val="left"/>
                                  </w:pPr>
                                  <w:r>
                                    <w:rPr>
                                      <w:rFonts w:ascii="Arial" w:hAnsi="Arial" w:cs="Arial"/>
                                      <w:b w:val="false"/>
                                      <w:i w:val="false"/>
                                      <w:strike w:val="false"/>
                                      <w:color w:val="000000"/>
                                      <w:spacing w:val="0"/>
                                      <w:sz w:val="20"/>
                                      <w:u w:val="none"/>
                                    </w:rPr>
                                    <w:t xml:space="preserve"> </w:t>
                                  </w:r>
                                </w:p>
                                <w:p>
                                  <w:pPr>
                                    <w:spacing w:before="0" w:after="0" w:line="220" w:lineRule="exact"/>
                                    <w:jc w:val="left"/>
                                  </w:pPr>
                                  <w:r>
                                    <w:rPr>
                                      <w:rFonts w:ascii="Arial" w:hAnsi="Arial" w:cs="Arial"/>
                                      <w:b w:val="false"/>
                                      <w:i w:val="false"/>
                                      <w:strike w:val="false"/>
                                      <w:color w:val="000000"/>
                                      <w:spacing w:val="0"/>
                                      <w:sz w:val="20"/>
                                      <w:u w:val="none"/>
                                    </w:rPr>
                                    <w:t xml:space="preserve">Document généré informatiquement, valable sans signature.</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80"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60" w:lineRule="exact"/>
                                    <w:jc w:val="center"/>
                                  </w:pPr>
                                  <w:r>
                                    <w:rPr>
                                      <w:rFonts w:ascii="Arial" w:hAnsi="Arial" w:cs="Arial"/>
                                      <w:b w:val="true"/>
                                      <w:i w:val="false"/>
                                      <w:strike w:val="false"/>
                                      <w:color w:val="000000"/>
                                      <w:spacing w:val="0"/>
                                      <w:sz w:val="24"/>
                                      <w:u w:val="none"/>
                                    </w:rPr>
                                    <w:t xml:space="preserve">*** *** ***</w:t>
                                  </w:r>
                                </w:p>
                              </w:tc>
                            </w:tr>
                          </w:tbl>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943" name="Rectangle 943"/>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944" name="Rectangle 944"/>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945" name="Rectangle 945"/>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MENTHE ET CHOCOLAT 1725168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946" name="Rectangle 946"/>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947" name="Rectangle 947"/>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94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5">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949" name="Rectangle 949"/>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950" name="Rectangle 950"/>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951" name="Rectangle 951"/>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952" name="Rectangle 952"/>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40246"/>
                <wp:effectExtent l="0" t="0" r="0" b="0"/>
                <wp:wrapNone/>
                <wp:docPr id="953" name="Rectangle 953"/>
                <wp:cNvGraphicFramePr/>
                <a:graphic xmlns:a="http://schemas.openxmlformats.org/drawingml/2006/main">
                  <a:graphicData uri="http://schemas.microsoft.com/office/word/2010/wordprocessingShape">
                    <wps:wsp>
                      <wps:cNvSpPr/>
                      <wps:spPr bwMode="auto">
                        <a:xfrm>
                          <a:off x="541800" y="1205640"/>
                          <a:ext cx="6508440" cy="8440246"/>
                        </a:xfrm>
                        <a:prstGeom prst="rect">
                          <a:avLst/>
                        </a:prstGeom>
                        <a:ln w="0" cap="sq" cmpd="sng">
                          <a:noFill/>
                          <a:miter lim="800000"/>
                        </a:ln>
                      </wps:spPr>
                      <wps:linkedTxbx id="1" seq="1"/>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954" name="Rectangle 954"/>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2/8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955" name="Rectangle 955"/>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956" name="Rectangle 956"/>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MENTHE ET CHOCOLAT 1725168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957" name="Rectangle 957"/>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958" name="Rectangle 958"/>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95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6">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960" name="Rectangle 960"/>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961" name="Rectangle 961"/>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962" name="Rectangle 962"/>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963" name="Rectangle 963"/>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37348"/>
                <wp:effectExtent l="0" t="0" r="0" b="0"/>
                <wp:wrapNone/>
                <wp:docPr id="964" name="Rectangle 964"/>
                <wp:cNvGraphicFramePr/>
                <a:graphic xmlns:a="http://schemas.openxmlformats.org/drawingml/2006/main">
                  <a:graphicData uri="http://schemas.microsoft.com/office/word/2010/wordprocessingShape">
                    <wps:wsp>
                      <wps:cNvSpPr/>
                      <wps:spPr bwMode="auto">
                        <a:xfrm>
                          <a:off x="541800" y="1205640"/>
                          <a:ext cx="6508440" cy="8337348"/>
                        </a:xfrm>
                        <a:prstGeom prst="rect">
                          <a:avLst/>
                        </a:prstGeom>
                        <a:ln w="0" cap="sq" cmpd="sng">
                          <a:noFill/>
                          <a:miter lim="800000"/>
                        </a:ln>
                      </wps:spPr>
                      <wps:linkedTxbx id="1" seq="2"/>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965" name="Rectangle 965"/>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3/8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966" name="Rectangle 966"/>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967" name="Rectangle 967"/>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MENTHE ET CHOCOLAT 1725168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968" name="Rectangle 968"/>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969" name="Rectangle 969"/>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97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7">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971" name="Rectangle 971"/>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972" name="Rectangle 972"/>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973" name="Rectangle 973"/>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974" name="Rectangle 974"/>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59164"/>
                <wp:effectExtent l="0" t="0" r="0" b="0"/>
                <wp:wrapNone/>
                <wp:docPr id="975" name="Rectangle 975"/>
                <wp:cNvGraphicFramePr/>
                <a:graphic xmlns:a="http://schemas.openxmlformats.org/drawingml/2006/main">
                  <a:graphicData uri="http://schemas.microsoft.com/office/word/2010/wordprocessingShape">
                    <wps:wsp>
                      <wps:cNvSpPr/>
                      <wps:spPr bwMode="auto">
                        <a:xfrm>
                          <a:off x="541800" y="1205640"/>
                          <a:ext cx="6508440" cy="8359164"/>
                        </a:xfrm>
                        <a:prstGeom prst="rect">
                          <a:avLst/>
                        </a:prstGeom>
                        <a:ln w="0" cap="sq" cmpd="sng">
                          <a:noFill/>
                          <a:miter lim="800000"/>
                        </a:ln>
                      </wps:spPr>
                      <wps:linkedTxbx id="1" seq="3"/>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976" name="Rectangle 976"/>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4/8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977" name="Rectangle 977"/>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978" name="Rectangle 978"/>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MENTHE ET CHOCOLAT 1725168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979" name="Rectangle 979"/>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980" name="Rectangle 980"/>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98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8">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982" name="Rectangle 982"/>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983" name="Rectangle 983"/>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984" name="Rectangle 984"/>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985" name="Rectangle 985"/>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31884"/>
                <wp:effectExtent l="0" t="0" r="0" b="0"/>
                <wp:wrapNone/>
                <wp:docPr id="986" name="Rectangle 986"/>
                <wp:cNvGraphicFramePr/>
                <a:graphic xmlns:a="http://schemas.openxmlformats.org/drawingml/2006/main">
                  <a:graphicData uri="http://schemas.microsoft.com/office/word/2010/wordprocessingShape">
                    <wps:wsp>
                      <wps:cNvSpPr/>
                      <wps:spPr bwMode="auto">
                        <a:xfrm>
                          <a:off x="541800" y="1205640"/>
                          <a:ext cx="6508440" cy="8431884"/>
                        </a:xfrm>
                        <a:prstGeom prst="rect">
                          <a:avLst/>
                        </a:prstGeom>
                        <a:ln w="0" cap="sq" cmpd="sng">
                          <a:noFill/>
                          <a:miter lim="800000"/>
                        </a:ln>
                      </wps:spPr>
                      <wps:linkedTxbx id="1" seq="4"/>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987" name="Rectangle 987"/>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5/8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988" name="Rectangle 988"/>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989" name="Rectangle 989"/>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MENTHE ET CHOCOLAT 1725168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990" name="Rectangle 990"/>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991" name="Rectangle 991"/>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99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9">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993" name="Rectangle 993"/>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994" name="Rectangle 994"/>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995" name="Rectangle 995"/>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996" name="Rectangle 996"/>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75890"/>
                <wp:effectExtent l="0" t="0" r="0" b="0"/>
                <wp:wrapNone/>
                <wp:docPr id="997" name="Rectangle 997"/>
                <wp:cNvGraphicFramePr/>
                <a:graphic xmlns:a="http://schemas.openxmlformats.org/drawingml/2006/main">
                  <a:graphicData uri="http://schemas.microsoft.com/office/word/2010/wordprocessingShape">
                    <wps:wsp>
                      <wps:cNvSpPr/>
                      <wps:spPr bwMode="auto">
                        <a:xfrm>
                          <a:off x="541800" y="1205640"/>
                          <a:ext cx="6508440" cy="8375890"/>
                        </a:xfrm>
                        <a:prstGeom prst="rect">
                          <a:avLst/>
                        </a:prstGeom>
                        <a:ln w="0" cap="sq" cmpd="sng">
                          <a:noFill/>
                          <a:miter lim="800000"/>
                        </a:ln>
                      </wps:spPr>
                      <wps:linkedTxbx id="1" seq="5"/>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998" name="Rectangle 998"/>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6/8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999" name="Rectangle 999"/>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1000" name="Rectangle 1000"/>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MENTHE ET CHOCOLAT 1725168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1001" name="Rectangle 1001"/>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002" name="Rectangle 1002"/>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100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0">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1004" name="Rectangle 1004"/>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1005" name="Rectangle 1005"/>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1006" name="Rectangle 1006"/>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1007" name="Rectangle 1007"/>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096644"/>
                <wp:effectExtent l="0" t="0" r="0" b="0"/>
                <wp:wrapNone/>
                <wp:docPr id="1008" name="Rectangle 1008"/>
                <wp:cNvGraphicFramePr/>
                <a:graphic xmlns:a="http://schemas.openxmlformats.org/drawingml/2006/main">
                  <a:graphicData uri="http://schemas.microsoft.com/office/word/2010/wordprocessingShape">
                    <wps:wsp>
                      <wps:cNvSpPr/>
                      <wps:spPr bwMode="auto">
                        <a:xfrm>
                          <a:off x="541800" y="1205640"/>
                          <a:ext cx="6508440" cy="8096644"/>
                        </a:xfrm>
                        <a:prstGeom prst="rect">
                          <a:avLst/>
                        </a:prstGeom>
                        <a:ln w="0" cap="sq" cmpd="sng">
                          <a:noFill/>
                          <a:miter lim="800000"/>
                        </a:ln>
                      </wps:spPr>
                      <wps:linkedTxbx id="1" seq="6"/>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1009" name="Rectangle 1009"/>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1010" name="Rectangle 1010"/>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1011" name="Rectangle 1011"/>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MENTHE ET CHOCOLAT 1725168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1012" name="Rectangle 1012"/>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013" name="Rectangle 1013"/>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101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1">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1015" name="Rectangle 1015"/>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1016" name="Rectangle 1016"/>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1017" name="Rectangle 1017"/>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1018" name="Rectangle 1018"/>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6708420"/>
                <wp:effectExtent l="0" t="0" r="0" b="0"/>
                <wp:wrapNone/>
                <wp:docPr id="1019" name="Rectangle 1019"/>
                <wp:cNvGraphicFramePr/>
                <a:graphic xmlns:a="http://schemas.openxmlformats.org/drawingml/2006/main">
                  <a:graphicData uri="http://schemas.microsoft.com/office/word/2010/wordprocessingShape">
                    <wps:wsp>
                      <wps:cNvSpPr/>
                      <wps:spPr bwMode="auto">
                        <a:xfrm>
                          <a:off x="541800" y="1205640"/>
                          <a:ext cx="6508440" cy="6708420"/>
                        </a:xfrm>
                        <a:prstGeom prst="rect">
                          <a:avLst/>
                        </a:prstGeom>
                        <a:ln w="0" cap="sq" cmpd="sng">
                          <a:noFill/>
                          <a:miter lim="800000"/>
                        </a:ln>
                      </wps:spPr>
                      <wps:linkedTxbx id="1" seq="7"/>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1020" name="Rectangle 1020"/>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8/8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1021" name="Rectangle 1021"/>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1022" name="Rectangle 1022"/>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MENTHE ET CHOCOLAT 1725168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1023" name="Rectangle 1023"/>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024" name="Rectangle 1024"/>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102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2">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1026" name="Rectangle 1026"/>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1027" name="Rectangle 1027"/>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1028" name="Rectangle 1028"/>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1029" name="Rectangle 1029"/>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p>
    <w:sectPr>
      <w:pgSz w:w="11904" w:h="16836" w:orient="portrait"/>
      <w:pgMar w:top="0" w:right="0" w:bottom="0" w:left="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3EA"/>
    <w:rsid w:val="00124B35"/>
    <w:rsid w:val="006C6556"/>
    <w:rsid w:val="00931FC8"/>
    <w:rsid w:val="00B003A3"/>
    <w:rsid w:val="00C173EA"/>
    <w:rsid w:val="00D362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8DB4A-2A23-44F0-A0D6-1A0CF2346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de-DE" w:eastAsia="de-DE"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pPr>
      <w:spacing w:after="160" w:line="259" w:lineRule="auto"/>
    </w:pPr>
    <w:rPr>
      <w:sz w:val="22"/>
      <w:szCs w:val="22"/>
      <w:lang w:eastAsia="en-US"/>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921" Type="http://schemas.openxmlformats.org/officeDocument/2006/relationships/image" Target="/media/image7.jpg"/><Relationship Id="rId3" Type="http://schemas.openxmlformats.org/officeDocument/2006/relationships/webSettings" Target="/word/webSettings.xml"/><Relationship Id="rId917" Type="http://schemas.openxmlformats.org/officeDocument/2006/relationships/image" Target="/media/image3.jpg"/><Relationship Id="rId925" Type="http://schemas.openxmlformats.org/officeDocument/2006/relationships/customXml" Target="../customXml/item3.xml"/><Relationship Id="rId920" Type="http://schemas.openxmlformats.org/officeDocument/2006/relationships/image" Target="/media/image6.jpg"/><Relationship Id="rId2" Type="http://schemas.openxmlformats.org/officeDocument/2006/relationships/settings" Target="/word/settings.xml"/><Relationship Id="rId916" Type="http://schemas.openxmlformats.org/officeDocument/2006/relationships/image" Target="/media/image2.jpg"/><Relationship Id="rId924" Type="http://schemas.openxmlformats.org/officeDocument/2006/relationships/customXml" Target="../customXml/item2.xml"/><Relationship Id="rId1" Type="http://schemas.openxmlformats.org/officeDocument/2006/relationships/styles" Target="/word/styles.xml"/><Relationship Id="rId915" Type="http://schemas.openxmlformats.org/officeDocument/2006/relationships/image" Target="/media/image.jpg"/><Relationship Id="rId5" Type="http://schemas.openxmlformats.org/officeDocument/2006/relationships/theme" Target="/word/theme/theme1.xml"/><Relationship Id="rId923" Type="http://schemas.openxmlformats.org/officeDocument/2006/relationships/customXml" Target="../customXml/item1.xml"/><Relationship Id="rId919" Type="http://schemas.openxmlformats.org/officeDocument/2006/relationships/image" Target="/media/image5.jpg"/><Relationship Id="rId922" Type="http://schemas.openxmlformats.org/officeDocument/2006/relationships/image" Target="/media/image8.jpg"/><Relationship Id="rId4" Type="http://schemas.openxmlformats.org/officeDocument/2006/relationships/fontTable" Target="/word/fontTable.xml"/><Relationship Id="rId918" Type="http://schemas.openxmlformats.org/officeDocument/2006/relationships/image" Target="/media/image4.jpg"/></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63D248DB-7D48-4D3B-AA0A-1CE0CC37D40D}"/>
</file>

<file path=customXml/itemProps2.xml><?xml version="1.0" encoding="utf-8"?>
<ds:datastoreItem xmlns:ds="http://schemas.openxmlformats.org/officeDocument/2006/customXml" ds:itemID="{AC3E418A-6FA2-46B0-BFD7-E4A8F43FDD3A}"/>
</file>

<file path=customXml/itemProps3.xml><?xml version="1.0" encoding="utf-8"?>
<ds:datastoreItem xmlns:ds="http://schemas.openxmlformats.org/officeDocument/2006/customXml" ds:itemID="{B4823ED0-1803-4EBE-B3C5-9B4A79E35759}"/>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7959700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