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thé chaï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Acétate de 4-tert-butylcyclohexyle; 1-(1,2,3,4,5,6,7,8-octahydro-2,3,8,8-tetramethyl-2-naphthyl)ethan-1-one; coumarin; éter metílico de cedro; cineole; alpha-iso-methylionone; cashmeran; cinnamaldehyde; Eugenol; (E)-1-(2,6,6-trimethyl-1,3-cyclohexadien-1-yl)-2-buten-1-one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Propanoic acid, 2-(1,1-dimethylpropoxy)-, propyl ester, (2S)-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319002-92-1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437-530-0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éter metílico de cedro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(Inhalación), H332</w:t>
              <w:br/>
              <w:t>Skin Irrit. 2, H315</w:t>
              <w:br/>
              <w:t>Skin Sens. 1A, H317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Té.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de peso corporal Animal: rat, Animal sex: female, Guideline: OECD Guideline 401 (Acute Oral Toxicity), 95% CL: 2043 - 3529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de peso corporal Animal: rat, Animal sex: male, Guideline: OECD Guideline 421 (Reproduction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de peso corporal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thé chaï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thé chaï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Propanoic acid, 2-(1,1-dimethylpropoxy)-, propyl ester, (2S)- (319002-92-1)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éter metílico de cedro (19870-74-7)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cineole ; cinnamaldehyde ; Eugenol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thé chaï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thé chaï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29/07/2026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30F140-9AC6-4457-8644-E39B4BD34C9C}"/>
</file>

<file path=customXml/itemProps3.xml><?xml version="1.0" encoding="utf-8"?>
<ds:datastoreItem xmlns:ds="http://schemas.openxmlformats.org/officeDocument/2006/customXml" ds:itemID="{D8F3CB6F-11B8-4B69-8A7F-EE1849CEF89C}"/>
</file>

<file path=customXml/itemProps4.xml><?xml version="1.0" encoding="utf-8"?>
<ds:datastoreItem xmlns:ds="http://schemas.openxmlformats.org/officeDocument/2006/customXml" ds:itemID="{8EB9E737-3DA4-48FE-9E31-FA303703FF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