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pomme cannelle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profesional,Uso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Composición fragante (fragancia).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cinnamaldehyde; α-methylcinnamaldehyde;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Eliminar el contenido/envase en ... (... de acuerdo con la normativa local/regional/nacional o internacional).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diethyl malonate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105-53-3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203-305-9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1,842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(ATE=280 mg/kg de peso corporal)</w:t>
              <w:br/>
              <w:t>Acute Tox. 3 (Cutánea), H311 (ATE=820 mg/kg de peso corporal)</w:t>
              <w:br/>
              <w:t>Acute Tox. 3 (Inhalación), H331 (ATE=0,5 mg/l/4h)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Picante.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de peso corporal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de peso corporal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15794 mg/kg de peso corporal Animal: rat, Animal sex: male, Guideline: other: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16960 mg/kg de peso corporal Animal: rabbit, Animal sex: 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de peso corporal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de peso corporal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de peso corporal Animal: mouse,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cannelle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202,3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508,2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800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cannelle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cannelle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3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cannelle 10%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23/04/2026   Versión: 4.0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A20AA-D851-4CED-809E-181F96B3DC06}"/>
</file>

<file path=customXml/itemProps3.xml><?xml version="1.0" encoding="utf-8"?>
<ds:datastoreItem xmlns:ds="http://schemas.openxmlformats.org/officeDocument/2006/customXml" ds:itemID="{7FC311E4-417B-4042-812A-44D8C3711AED}"/>
</file>

<file path=customXml/itemProps4.xml><?xml version="1.0" encoding="utf-8"?>
<ds:datastoreItem xmlns:ds="http://schemas.openxmlformats.org/officeDocument/2006/customXml" ds:itemID="{53F65535-2DE5-4FE6-BC3D-763738185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