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pistache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p w:rsidR="00827634" w:rsidRPr="0069446B" w:rsidP="009E5102" w14:paraId="29F388B8" w14:textId="4336E5B9">
      <w:pPr>
        <w:pStyle w:val="SDSTextNormal"/>
        <w:rPr>
          <w:noProof/>
        </w:rPr>
      </w:pPr>
      <w:r w:rsidRPr="0069446B">
        <w:rPr>
          <w:noProof/>
        </w:rPr>
        <w:t>No clasificado</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Que se sepa, el producto no presenta ningún riesgo especial siempre que se respeten las normas generales de higiene industrial.</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P501 - Eliminar el contenido y el recipiente en un centro de clasificación, de acuerdo con la normativa local.</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BENZYL SALICYLATE, HELIOTROPINE, CITRAL, HELIOTROPINE, COUMARIN, HEXYL SALICYLATE, ISOAMYL SALICYLATE. Puede producir una reacción alérgica.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de peso corporal)</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228-408-6</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607-772-00-3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H361d</w:t>
              <w:br/>
              <w:t>STOT RE No clasificado</w:t>
              <w:br/>
              <w:t>Aquatic Acute 1, H400 (M=1)</w:t>
              <w:br/>
              <w:t>Aquatic Chronic 1, H410 (M=1)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202-860-4</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Acute Tox. 4 (Inhalación), H332 (ATE=3 mg/l/4h)</w:t>
              <w:br/>
              <w:t>Skin Irrit. 2, H315</w:t>
              <w:br/>
              <w:t>Eye Irrit. 2, H319</w:t>
              <w:br/>
              <w:t>Repr. 2, H361</w:t>
              <w:br/>
              <w:t>STOT SE 3, H335</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 la piel con abundante agua.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Ninguno en condiciones normales. El polvo puede provocar una irritación en los pliegues de la piel o por contacto si se lleva ropa ajustada.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 la zona de derrame.</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citral</w:t>
            </w:r>
            <w:r w:rsidRPr="0069446B">
              <w:rPr>
                <w:noProof w:val="0"/>
                <w:color w:val="auto"/>
              </w:rPr>
              <w:t xml:space="preserve"> </w:t>
            </w:r>
            <w:r w:rsidRPr="0069446B" w:rsidR="00FD53E4">
              <w:rPr>
                <w:noProof/>
                <w:color w:val="auto"/>
              </w:rPr>
              <w:t>(5392-40-5)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Citral</w:t>
            </w:r>
          </w:p>
        </w:tc>
      </w:tr>
      <w:tr w14:paraId="70951C3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B"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 Sen (Sensibilizante), FIV (Fracción inhalable y vapor. La notación FIV señala a aquellos agentes químicos que se pueden presentar en el ambiente de trabajo, tanto en forma de materia particulada como vapor, por lo que las dos fases pueden coexistir, contribuyendo ambas a la exposición. Esta situación se puede dar, principalmente, en los siguientes casos: • Cuando el agente en cuestión tiene un valor “intermedio” de presión de vapor (en estos casos se tiene en cuenta la relación entre su concentración en el aire saturado de vapor y el valor del VLA-ED® y la nota se asigna, generalmente, cuando el cociente entre ambas cantidades se encuentra entre 0.1 y 10). • Por razón de la forma de uso del agente químico (por ejemplo, pulverización). • En los procesos que conlleven cambios importantes de temperatura que puedan afectar al estado físico del agente químico. • En los procesos en los que una fracción significativa del vapor puede disolverse o adsorberse en las partículas de otra sustancia, a semejanza de lo que ocurre con los agentes solubles en agua en ambientes con humedad elevada).</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Afrutado. Vainilla.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salicylate (118-58-1)</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peso corporal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benzaldehyde (100-52-7)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 1430 mg/kg de peso corporal Animal: rat, Animal sex: male, Guideline: OECD Guideline 401 (Acute Oral Toxicity), 95% CL: 1,33 - 1,54</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peso corporal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de peso corporal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de peso corporal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de peso corporal Animal: rat</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de peso corporal Animal: rat, Guideline: OECD Guideline 401 (Acute Oral Toxicity), 95% CL: 2350 - 3100</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de peso corporal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peso corporal Animal: rat,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peso corporal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hexyl salicylate (6259-76-3)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peso corporal Animal: rat,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isopentyl salicylate (87-20-7)</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1310 mg/kg de peso corporal Animal: rat</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sidR="00FA7F7F">
              <w:rPr>
                <w:noProof/>
              </w:rPr>
              <w:t>1310 mg/kg de peso corporal Animal: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 clasificado (A la vista de los datos disponibles, no se cumplen los criterios de clasificación)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de peso corporal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peso corporal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Toxicidad específica en determinados órganos (STOT) – exposición única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Puede irritar las vías respiratorias.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de peso corporal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peso corporal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de peso corporal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peso corporal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hexyl salicylate (6259-76-3)</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sidR="00FA7F7F">
              <w:rPr>
                <w:noProof/>
                <w:lang w:val="fr-BE"/>
              </w:rPr>
              <w:t>46,9 mg/kg de peso corporal Animal: rat</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(inhalación, rata, polvo/niebla/humo,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0,249 mg/l air Animal: rat, Guideline: OECD Guideline 412 (Subacute Inhalation Toxicity: 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pistache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Este producto no se considera nocivo para los organismos acuáticos o no que cause efectos adversos a largo plazo en el medio 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 clasificado (A la vista de los datos disponibles, no se cumplen los criterios de clasificación)</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salicylate (118-58-1)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1,03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1,16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benzaldehyde (100-52-7)</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hexyl salicylate (6259-76-3)</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0,357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isopentyl salicylate (87-20-7)</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1,12 mg/l Test organisms (species): Raphidocelis subcapitata (previous names: Pseudokirchneriella subcapitata, Selenastrum capricornutum)</w:t>
            </w:r>
          </w:p>
        </w:tc>
      </w:tr>
      <w:tr w14:paraId="14947BF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0,298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pistache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benzaldehyde (100-52-7)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benzaldehyde ; hexyl salicylate ; isopentyl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benzaldehyde ; citral ; hexyl salicylate ; isopentyl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Contiene una o varias sustancias incluidas en la lista de precursores de drogas (Reglamento CE 273/2004 relativa a la fabricación y puesta en el mercado de determinadas sustancias utilizadas para la fabricación ilícita de estupefacientes y sustancias psicotrópicas)</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Nombre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Denominación NC</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Código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Categoría,</w:t>
            </w:r>
          </w:p>
          <w:p w:rsidR="00A65092" w:rsidRPr="0069446B" w:rsidP="00E96366" w14:paraId="26779EFF" w14:textId="63E11907">
            <w:pPr>
              <w:pStyle w:val="SDSTableTextHeading1"/>
              <w:rPr>
                <w:noProof w:val="0"/>
                <w:color w:val="auto"/>
              </w:rPr>
            </w:pPr>
            <w:r w:rsidRPr="0069446B" w:rsidR="00FA7F7F">
              <w:rPr>
                <w:noProof/>
                <w:color w:val="auto"/>
              </w:rPr>
              <w:t>Subcategoría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Umbral</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Anexo</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Categoría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Anexo I</w:t>
            </w:r>
          </w:p>
        </w:tc>
      </w:tr>
      <w:tr w14:paraId="23D538E1"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126BB867">
            <w:pPr>
              <w:pStyle w:val="SDSTableTextNormal"/>
              <w:rPr>
                <w:noProof w:val="0"/>
              </w:rPr>
            </w:pPr>
            <w:r w:rsidRPr="0069446B" w:rsidR="00FA7F7F">
              <w:rPr>
                <w:noProof/>
              </w:rPr>
              <w:t>Categoría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5BB0BAA">
            <w:pPr>
              <w:pStyle w:val="SDSTableTextNormal"/>
              <w:rPr>
                <w:noProof w:val="0"/>
              </w:rPr>
            </w:pPr>
            <w:r w:rsidRPr="0069446B" w:rsidR="00FA7F7F">
              <w:rPr>
                <w:noProof/>
              </w:rPr>
              <w:t>Anexo I</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(por inhalación),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para la reproducción, categoría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STOT RE No clasificado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específica en determinados órganos (exposiciones repetidas) No clasificado</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específica en determinados órganos – Exposición única, categoría 3, irritación de las vías respiratorias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inhalación.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irritar las vías respiratorias.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 sospecha que puede perjudicar la fertilidad o dañar el feto.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 sospecha que puede dañar el feto.</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BENZYL SALICYLATE, HELIOTROPINE, CITRAL, HELIOTROPINE, COUMARIN, HEXYL SALICYLATE, ISOAMYL SALICYLATE. Puede producir una reacción alérgica.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pistache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pistache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12/08/2026   Versión: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50254EA-8E45-406E-A256-DAF13CB6B180}"/>
</file>

<file path=customXml/itemProps3.xml><?xml version="1.0" encoding="utf-8"?>
<ds:datastoreItem xmlns:ds="http://schemas.openxmlformats.org/officeDocument/2006/customXml" ds:itemID="{1AC3418E-37DB-4E2F-9269-F51CBA1B721C}"/>
</file>

<file path=customXml/itemProps4.xml><?xml version="1.0" encoding="utf-8"?>
<ds:datastoreItem xmlns:ds="http://schemas.openxmlformats.org/officeDocument/2006/customXml" ds:itemID="{52B66999-B69F-4013-A26C-606FF7292858}"/>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