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patchouli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Composición fragante (fragancia).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EUH210 - Puede solicitarse la ficha de datos de seguridad.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Esta mezcla no contiene ninguna sustancia a mencionar según los criterios de la sección 3.2 del Anexo II del Reglamento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Aunque no se identifican riesgos específicos, el personal de primeros auxilios debe usar protección ocular, guantes y mascarilla desechable. Se debe considerar el uso de protección adicional si hay probabilidad de que la exposición se repita o se prolongue.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Ámbar.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patchouli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patchouli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solicitarse la ficha de datos de seguridad.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patchouli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patchouli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8EA7A-7B05-416C-BF23-8AE4315D09B1}"/>
</file>

<file path=customXml/itemProps3.xml><?xml version="1.0" encoding="utf-8"?>
<ds:datastoreItem xmlns:ds="http://schemas.openxmlformats.org/officeDocument/2006/customXml" ds:itemID="{D05FAEF7-EAF4-41E7-A317-C6FCAD6F87B8}"/>
</file>

<file path=customXml/itemProps4.xml><?xml version="1.0" encoding="utf-8"?>
<ds:datastoreItem xmlns:ds="http://schemas.openxmlformats.org/officeDocument/2006/customXml" ds:itemID="{EE934DAF-B79A-4D11-A3B2-832716732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