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oud tonka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39CDAC99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Pictogramas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2,3-dihydro-2,2,6-trimethylbenzaldehyde; acetyl cedrene; 7-hydroxycitronellal; benzyl alcohol; citronellol; 1-(1,2,3,4,5,6,7,8-octahydro-2,3,8,8-tetramethyl-2-naphthyl)ethan-1-one; coumarin; geraniol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Puede provocar una alergia cutánea.</w:t>
              <w:br/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no incluida(s) en la lista establecida con arreglo al artículo 59, apartado 1, de REACH por sus propiedades de alteración endocrina, o por no tener propiedades de alteración endocrina con arreglo a los criterios establecidos en el Reglamento Delegado (UE) 2017/2100 de la Comisión o en el Reglamento (UE) 2018/605 de la Comisión.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 (106-24-1)</w:t>
            </w:r>
          </w:p>
        </w:tc>
      </w:tr>
    </w:tbl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benzoate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120-51-4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204-402-9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607-085-00-9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Aquatic Acute 1, H400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acetyl cedrene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32388-55-9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251-020-3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100-51-6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202-859-9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603-057-00-5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(ATE=1570 mg/kg)</w:t>
              <w:br/>
              <w:t>Eye Irrit. 2, H319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203-377-1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603-241-00-5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1, H317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7-hydroxycitronellal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107-75-5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203-518-7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2,3-dihydro-2,2,6-trimethylbenzaldehyde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116-26-7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204-133-7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(ATE=1150 mg/kg de peso corporal)</w:t>
              <w:br/>
              <w:t>Skin Irrit. 2, H315</w:t>
              <w:br/>
              <w:t>Eye Irrit. 2, H319</w:t>
              <w:br/>
              <w:t>Skin Sens. 1A, H317</w:t>
              <w:br/>
              <w:t>Aquatic Chronic 2, H411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p w:rsidR="00827634" w:rsidRPr="0069446B" w:rsidP="009E5102" w14:paraId="3270D03B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p w:rsidR="00827634" w:rsidRPr="0069446B" w:rsidP="009E5102" w14:paraId="6476D90B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P="009E5102" w14:paraId="4AC05E66" w14:textId="77777777">
      <w:pPr>
        <w:pStyle w:val="SDSTextNormal"/>
        <w:bidi w:val="0"/>
        <w:rPr>
          <w:rtl w:val="0"/>
        </w:rPr>
      </w:pPr>
      <w:r>
        <w:rPr>
          <w:rtl w:val="0"/>
        </w:rPr>
        <w:t>No se dispone de información adicional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p w:rsidR="00827634" w:rsidRPr="0069446B" w:rsidP="009E5102" w14:paraId="7D29CD2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p w:rsidR="00827634" w:rsidRPr="0069446B" w:rsidP="009E5102" w14:paraId="68C05450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p w:rsidR="00827634" w:rsidRPr="0069446B" w:rsidP="009E5102" w14:paraId="07CFEBDB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p w:rsidR="000649B9" w:rsidRPr="0069446B" w:rsidP="009E5102" w14:paraId="518B1C0B" w14:textId="33B467FA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07635309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p w:rsidR="00827634" w:rsidRPr="0069446B" w:rsidP="009E5102" w14:paraId="339CB022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27F31A3F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p w:rsidR="00827634" w:rsidRPr="0069446B" w:rsidP="009E5102" w14:paraId="37A6EB77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p w:rsidR="00827634" w:rsidRPr="0069446B" w:rsidP="009E5102" w14:paraId="4AB0649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E3029C" w:rsidRPr="0069446B" w:rsidP="00804F80" w14:paraId="18A01B52" w14:textId="4F86A49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Incoloro. Amarillo.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rocío. Picante. Sándalo.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BA779C6" w14:textId="57D6216F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F45D1B8" w14:textId="6C4876BB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6CF2209A" w14:textId="5050E4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C0524AE" w14:textId="51E9198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7E328680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7BBC4612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5B003915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CC753E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P="009E5102" w14:paraId="284E7B0E" w14:textId="77777777">
      <w:pPr>
        <w:pStyle w:val="SDSTextNormal"/>
        <w:bidi w:val="0"/>
        <w:rPr>
          <w:rtl w:val="0"/>
        </w:rPr>
      </w:pPr>
      <w:r>
        <w:rPr>
          <w:rtl w:val="0"/>
        </w:rPr>
        <w:t>No se dispone de información adicional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2,3-dihydro-2,2,6-trimethylbenzaldehyde (116-26-7)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300 – 2000 mg/kg de peso corporal Animal: rat, Animal sex: female, Guideline: OECD Guideline 423 (Acute Oral toxicity - Acute Toxic Class Method), Guideline: EU Method B.1 tris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6400 mg/kg de peso corporal Animal: rat, Guideline: OECD Guideline 401 (Acute Oral Toxicity)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1580 mg/kg de peso corporal Animal: mouse, Guideline: OECD Guideline 401 (Acute Oral Toxicity), 95% CL: 1410 - 1770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rabbit, Guideline: EPA OTS 798.1100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4,178 mg/l air Animal: rat, Guideline: OECD Guideline 403 (Acute Inhalation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401 (Acute Oral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60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3600 mg/kg de peso corporal Animal: rat, 95% CL: 2840 - 4570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827634" w:rsidRPr="0069446B" w:rsidP="003E0104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2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95C82A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de peso corporal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2,3-dihydro-2,2,6-trimethylbenzaldehyde (116-26-7)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125 mg/kg de peso corporal Animal: rat, Guideline: OECD Guideline 422 (Combined Repeated Dose Toxicity Study with the Reproduction / Developmental Toxicity Screening Test)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80 mg/kg de peso corporal Animal: rat, Guideline: OECD Guideline 408 (Repeated Dose 90-Day Oral Toxicity Study in Rodents)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7CBBCD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453 (Combined Chronic Toxicity / Carcinogenicity Studies)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animal/macho,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07CBBCD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400 mg/kg de peso corporal Animal: rat,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781 mg/kg de peso corporal Animal: rat, Guideline: OECD Guideline 410 (Repeated Dose Dermal Toxicity: 21/28-Day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E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07CBBCD9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2000 mg/kg de peso corporal Animal: rat, Guideline: other:</w:t>
            </w:r>
          </w:p>
        </w:tc>
      </w:tr>
      <w:tr w14:paraId="1DE6168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4E7C06A1" w14:textId="0EA9F377">
            <w:pPr>
              <w:pStyle w:val="SDSTableTextNormal"/>
              <w:rPr>
                <w:noProof w:val="0"/>
                <w:lang w:val="de-DE"/>
              </w:rPr>
            </w:pPr>
            <w:r w:rsidRPr="0069446B">
              <w:rPr>
                <w:noProof/>
                <w:lang w:val="de-DE"/>
              </w:rPr>
              <w:t>NOAEC (inhalación, rata, polvo/niebla/humo,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1724A9" w14:textId="17F52C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0,063 mg/l air Animal: rat, Guideline: OECD Guideline 412 (Subacute Inhalation Toxicity: 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F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de peso corporal Animal: mouse, Animal sex: female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E0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32F42FB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de peso corporal Animal: rat, Guideline: other:,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 xml:space="preserve">38,25 mm²/s Temp.: '20°C' </w:t>
            </w:r>
            <w:r w:rsidRPr="0069446B">
              <w:rPr>
                <w:rFonts w:hint="eastAsia"/>
                <w:noProof/>
                <w:lang w:eastAsia="ja-JP"/>
              </w:rPr>
              <w:t>Parameter: 'kinematic viscosity (in mm²/s)'</w:t>
            </w:r>
          </w:p>
        </w:tc>
      </w:tr>
    </w:tbl>
    <w:p w:rsidR="008A1716" w:rsidRPr="0069446B" w:rsidP="008A1716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D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1484F7D0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4,851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2,3-dihydro-2,2,6-trimethylbenzaldehyde (116-26-7)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4,3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22,73 mg/l Test organisms (species): Daphnia sp.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15,5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5,36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 mg/l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 mg/l Test organisms (species): Pimephales promelas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0,86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2,8 mg/l Test organisms (species): Raphidocelis subcapitata (previous names: Pseudokirchneriella subcapitata, Selenastrum capricornutum)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4,3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0,087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31,6 mg/l Test organisms (species): Leuciscus idus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410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123,32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460 mg/l Test organisms (species): Pimephales promelas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230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770 mg/l Test organisms (species): Raphidocelis subcapitata (previous names: Pseudokirchneriella subcapitata, Selenastrum capricornutum)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500 mg/l Test organisms (species): Raphidocelis subcapitata (previous names: Pseudokirchneriella subcapitata, Selenastrum capricornutum)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76,828 mg/l Test organisms (species): other: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48,897 mg/l Test organisms (species): other: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2,32 mg/l Test organisms (species): Danio rerio (previous name: Brachydanio rerio)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3,09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562CCB6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14,66 mg/l Test organisms (species): Leuciscus idus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17,48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2,4 mg/l Test organisms (species):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562CCB6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Danio rerio (previous name: Brachydanio rerio)</w:t>
            </w:r>
          </w:p>
        </w:tc>
      </w:tr>
      <w:tr w14:paraId="758D63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10,8 mg/l Test organisms (species): Daphnia magna</w:t>
            </w:r>
          </w:p>
        </w:tc>
      </w:tr>
      <w:tr w14:paraId="66FAA3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oud tonka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2,3-dihydro-2,2,6-trimethylbenzaldehyde (116-26-7)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p w:rsidR="00A65092" w:rsidRPr="0069446B" w:rsidP="00A65092" w14:paraId="1965DBDA" w14:textId="0FFE3A91">
      <w:pPr>
        <w:pStyle w:val="SDSTextNormal"/>
      </w:pPr>
      <w:r>
        <w:rPr>
          <w:noProof/>
        </w:rPr>
        <w:t>No contiene ninguna sustancia incluida en  el Anexo XVII de REACH (Condiciones de restricción)</w:t>
      </w:r>
    </w:p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C416A10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 o irritación ocular, categoría 1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lesiones oculares graves.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20/04/2026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20/04/2026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oud tonka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oud tonka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20/04/2026   Versión: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51A735-D7FF-4B08-A6E1-808C732257E4}"/>
</file>

<file path=customXml/itemProps3.xml><?xml version="1.0" encoding="utf-8"?>
<ds:datastoreItem xmlns:ds="http://schemas.openxmlformats.org/officeDocument/2006/customXml" ds:itemID="{358A0A01-5364-499E-8AE3-E890F26F2D89}"/>
</file>

<file path=customXml/itemProps4.xml><?xml version="1.0" encoding="utf-8"?>
<ds:datastoreItem xmlns:ds="http://schemas.openxmlformats.org/officeDocument/2006/customXml" ds:itemID="{5BC0BB97-AE9B-4775-9C77-05487C6CFE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