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oud eternel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(ethoxymethoxy)cyclododecane; α-hexylcinnamaldehyde; éter metílico de cedro; 1-(1,2,3,4,5,6,7,8-octahydro-2,3,8,8-tetramethyl-2-naphthyl)ethan-1-one; d-limonene; 4-tert-butylcyclohexyl acetate;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(ATE=218 mg/kg de peso corporal)</w:t>
              <w:br/>
              <w:t>Acute Tox. 3 (Cutánea), H311 (ATE=810 mg/kg de peso corporal)</w:t>
              <w:br/>
              <w:t>Aquatic Acute 1, H400 (M=10)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Hesperidaceae.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7E6D8D8" w14:textId="2532CE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Producto insoluble en agua.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Animal sex: male,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de peso corporal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oud eternel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oud eternel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oud eternel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oud eternel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82C0D-2912-4B50-AD2D-98E1A4751495}"/>
</file>

<file path=customXml/itemProps3.xml><?xml version="1.0" encoding="utf-8"?>
<ds:datastoreItem xmlns:ds="http://schemas.openxmlformats.org/officeDocument/2006/customXml" ds:itemID="{3A759E64-A4BE-458F-83BC-1832C3B7C94E}"/>
</file>

<file path=customXml/itemProps4.xml><?xml version="1.0" encoding="utf-8"?>
<ds:datastoreItem xmlns:ds="http://schemas.openxmlformats.org/officeDocument/2006/customXml" ds:itemID="{DB7835C3-B5BB-4B79-B3EC-B2DCC31D0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