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oud eternel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(ethoxymethoxy)cyclododecane; linalyl acetate; α-hexylcinnamaldehyde; éter metílico de cedro; 1-(1,2,3,4,5,6,7,8-octahydro-2,3,8,8-tetramethyl-2-naphthyl)ethan-1-one; d-limonene; 4-tert-butylcyclohexyl acetate;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P391 - Recoger el vertido.</w:t>
              <w:br/>
              <w:t>P501 - Eliminar el contenido/el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(ATE=218 mg/kg de peso corporal)</w:t>
              <w:br/>
              <w:t>Acute Tox. 3 (Cutánea), H311 (ATE=810 mg/kg de peso corporal)</w:t>
              <w:br/>
              <w:t>Aquatic Acute 1, H400 (M=10)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Hesperidaceae.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Animal sex: male,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de peso corporal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de peso corporal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oud eternel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oud eternel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allyl heptanoate ; (ethoxymethoxy)cyclododecane ; linalyl acetate ; d-limonene ; 4-tert-butylcyclohexyl acetate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allyl heptanoate ; (ethoxymethoxy)cyclododecane ; d-limonene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oud eternel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oud eternel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17/04/2026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7E828-05B0-4104-82C9-0EBEB316C851}"/>
</file>

<file path=customXml/itemProps3.xml><?xml version="1.0" encoding="utf-8"?>
<ds:datastoreItem xmlns:ds="http://schemas.openxmlformats.org/officeDocument/2006/customXml" ds:itemID="{C2A6A7C1-7137-44A4-84AE-9C07B7F1CE6D}"/>
</file>

<file path=customXml/itemProps4.xml><?xml version="1.0" encoding="utf-8"?>
<ds:datastoreItem xmlns:ds="http://schemas.openxmlformats.org/officeDocument/2006/customXml" ds:itemID="{B9B91FEA-6E6A-46EE-9FDB-44565277F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