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oiseau de paradis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p w:rsidR="00827634" w:rsidRPr="0069446B" w:rsidP="009E5102" w14:paraId="29F388B8" w14:textId="4336E5B9">
      <w:pPr>
        <w:pStyle w:val="SDSTextNormal"/>
        <w:rPr>
          <w:noProof/>
        </w:rPr>
      </w:pPr>
      <w:r w:rsidRPr="0069446B">
        <w:rPr>
          <w:noProof/>
        </w:rPr>
        <w:t>No clasificado</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Que se sepa, el producto no presenta ningún riesgo especial siempre que se respeten las normas generales de higiene industrial.</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linalool, LIMONENE.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0,3052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d-Limoneno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Afrutado. Acuoso.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de peso corporal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peso corporal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oiseau de paradis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Este producto no se considera nocivo para los organismos acuáticos o no que cause efectos adversos a largo plazo en el medio 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 clasificado (A la vista de los datos disponibles, no se cumplen los criterios de clasificación)</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oiseau de paradis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Peligroso para el medio acuático – Peligro agudo, categoría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linalool, LIMONENE. Puede producir una reacción alérgica.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oiseau de paradis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oiseau de paradis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19/08/2026   Versión: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869257C-7CD4-497B-9061-73947BECF24B}"/>
</file>

<file path=customXml/itemProps3.xml><?xml version="1.0" encoding="utf-8"?>
<ds:datastoreItem xmlns:ds="http://schemas.openxmlformats.org/officeDocument/2006/customXml" ds:itemID="{82B5A0C5-2771-4033-8B46-D3674D82E54F}"/>
</file>

<file path=customXml/itemProps4.xml><?xml version="1.0" encoding="utf-8"?>
<ds:datastoreItem xmlns:ds="http://schemas.openxmlformats.org/officeDocument/2006/customXml" ds:itemID="{96B45DA2-FECA-4EBB-97E0-668C775F4B7F}"/>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