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noble oud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cinnamaldehyde; methyl palmitate; α-hexylcinnamaldehyde; benzyl salicylate; 1-(1,2,3,4,5,6,7,8-octahydro-2,3,8,8-tetramethyl-2-naphthyl)ethan-1-one; 4-tert-butylcyclohexyl acetate; coumarin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P333+P313 - En caso de irritación o erupción cutánea: consultar a un médico.</w:t>
              <w:br/>
              <w:t>Eliminar el contenido/envase en ... (... de acuerdo con la normativa local/regional/nacional o internacional).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1,2383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0,4361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palmitate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112-39-0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0,2247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0,1078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0,02695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alpha-cedreno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Picante. Cuero. Leñoso. Oriental. balsámico.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noble oud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550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noble oud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alpha-cedreno (469-61-4)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4-tert-butylcyclohexyl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27/04/2026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27/04/2026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noble oud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noble oud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27/04/2026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9DEF48-DC75-43CD-ACCF-A9D5C2FB3076}"/>
</file>

<file path=customXml/itemProps3.xml><?xml version="1.0" encoding="utf-8"?>
<ds:datastoreItem xmlns:ds="http://schemas.openxmlformats.org/officeDocument/2006/customXml" ds:itemID="{FDD96E60-DF59-4389-B0DC-903CAA6C0D71}"/>
</file>

<file path=customXml/itemProps4.xml><?xml version="1.0" encoding="utf-8"?>
<ds:datastoreItem xmlns:ds="http://schemas.openxmlformats.org/officeDocument/2006/customXml" ds:itemID="{03FAC11B-D28A-4773-9032-9BBC4BDA17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