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musc blanc et coco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2-benzylideneheptanal, pentadecan-15-olide, coumarin, 3-methyl-4-(2,6,6-trimethyl-2-cyclohexen-1-yl)-3-buten-2-one.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2-benzylideneheptanal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122-40-7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204-541-5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Almizcle.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de peso corporal Animal: rat, Animal sex: male, Guideline: OECD Guideline 408 (Repeated Dose 90-Day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musc blanc et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10,9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musc blanc et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2-benzylideneheptanal (122-40-7)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2-benzylideneheptanal, pentadecan-15-olide, coumarin, 3-methyl-4-(2,6,6-trimethyl-2-cyclohexen-1-yl)-3-buten-2-one.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musc blanc et coco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musc blanc et coco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18/05/2026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A89872-027E-46DD-A370-C1C157B156EB}"/>
</file>

<file path=customXml/itemProps3.xml><?xml version="1.0" encoding="utf-8"?>
<ds:datastoreItem xmlns:ds="http://schemas.openxmlformats.org/officeDocument/2006/customXml" ds:itemID="{900D878E-25BD-4091-9451-088FB292286F}"/>
</file>

<file path=customXml/itemProps4.xml><?xml version="1.0" encoding="utf-8"?>
<ds:datastoreItem xmlns:ds="http://schemas.openxmlformats.org/officeDocument/2006/customXml" ds:itemID="{D567EA08-2927-4488-95B6-EF09BAA567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