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monoï rosé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acetate; geraniol; benzyl salicylate; linalool; linalyl acetate; nerol; [3R-(3α,3aβ,6α,7β,8aα)]-octahydro-3,6,8,8-tetramethyl-1H-3a,7-methanoazulen-5-yl acetate; p-methoxybenzyl acetate; 2-benzylideneheptanal; isopentyl salicylate;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no incluida(s) en la lista establecida con arreglo al artículo 59, apartado 1, de REACH por sus propiedades de alteración endocrina, o por no tener propiedades de alteración endocrina con arreglo a los criterios establecidos en el Reglamento Delegado (UE) 2017/2100 de la Comisión o en el Reglamento (UE) 2018/605 de la Comisión.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1,1907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2-benzylideneheptanal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122-40-7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204-541-5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1,1424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0,6755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0,5159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p-methoxybenzyl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104-21-2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203-185-8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Naranja.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de peso corporal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de peso corporal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de peso corporal Animal: rat, Animal sex: male, Guideline: OECD Guideline 401 (Acute Oral Toxicity), 95% CL: 3400 - 5600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de peso corporal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(crónico, oral, animal/macho, 2 años)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monoï rosé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59,9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monoï rosé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2.1 a 2.4, 2.6 y 2.7, 2.8 tipos A y B, 2.9, 2.10, 2.12, 2.13 categorías 1 y 2, 2.14 categorías 1 y 2, 2.15 tipos A a 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geraniol ; benzyl salicylate ; linalool ; linalyl acetate ; d-limonene ; nerol ; [3R-(3α,3aβ,6α,7β,8aα)]-octahydro-3,6,8,8-tetramethyl-1H-3a,7-methanoazulen-5-yl acetate ; p-methoxybenzyl acetate ; 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d-limonene ; [3R-(3α,3aβ,6α,7β,8aα)]-octahydro-3,6,8,8-tetramethyl-1H-3a,7-methanoazulen-5-yl acetate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30/07/2026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30/07/2026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monoï rosé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monoï rosé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30/07/2026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4316BF-F417-45B6-A6B1-4BAF8F18AAD8}"/>
</file>

<file path=customXml/itemProps3.xml><?xml version="1.0" encoding="utf-8"?>
<ds:datastoreItem xmlns:ds="http://schemas.openxmlformats.org/officeDocument/2006/customXml" ds:itemID="{1B4E9B08-396A-4E6B-B93A-C1891287F699}"/>
</file>

<file path=customXml/itemProps4.xml><?xml version="1.0" encoding="utf-8"?>
<ds:datastoreItem xmlns:ds="http://schemas.openxmlformats.org/officeDocument/2006/customXml" ds:itemID="{EDFEBEED-F895-4E30-8EE3-E368D4595A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