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monoï rosé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39CDAC99" w14:textId="77777777">
      <w:pPr>
        <w:pStyle w:val="SDSTextNormal"/>
        <w:bidi w:val="0"/>
        <w:rPr>
          <w:rtl w:val="0"/>
        </w:rPr>
      </w:pPr>
      <w:r w:rsidRPr="0069446B">
        <w:rPr>
          <w:rtl w:val="0"/>
        </w:rPr>
        <w:t>No se dispone de información adicional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Naranja.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de peso corporal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peso corporal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de peso corporal Animal: rat, Guideline: OECD Guideline 401 (Acute Oral Toxicity), 95% CL: 3190 - 4370</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peso corporal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peso corporal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monoï rosé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monoï rosé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monoï rosé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monoï rosé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20/10/2026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80EFE6E-AFA0-4817-B92C-EE2D94199A5F}"/>
</file>

<file path=customXml/itemProps3.xml><?xml version="1.0" encoding="utf-8"?>
<ds:datastoreItem xmlns:ds="http://schemas.openxmlformats.org/officeDocument/2006/customXml" ds:itemID="{D8013B5D-53A8-4158-A8FD-0217C4F2B0F6}"/>
</file>

<file path=customXml/itemProps4.xml><?xml version="1.0" encoding="utf-8"?>
<ds:datastoreItem xmlns:ds="http://schemas.openxmlformats.org/officeDocument/2006/customXml" ds:itemID="{747F42A4-C31B-4DD3-A85F-FBA78954CC76}"/>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