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monoï pêche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2-benzylideneheptanal; linalool; linalyl acetate; geraniol; α-hexylcinnamaldehyde; hexyl salicylate; acetyl cedrene; 3,7,11-trimethyldodeca-1,6,10-trien-3-ol,mixed isomers; benzyl salicylate; isoeugenol; cis-4-(isopropyl)cyclohexanemethanol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3,7,11-trimethyldodeca-1,6,10-trien-3-ol,mixed isomers (7212-44-4)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7212-44-4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230-597-5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607-772-00-3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Vainilla. Naranja.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de peso corporal Animal: rat, Guideline: EU Method B.1 (Acute Toxicity (Oral)),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2610 mg/kg de peso corporal Animal: rat, Guideline: OECD Guideline 401 (Acute Oral Toxicity)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46,9 mg/kg de peso corporal Animal: rat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0,249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1,43 mg/l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510,3 μg/l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3,7,11-trimethyldodeca-1,6,10-trien-3-ol,mixed isomers (7212-44-4)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3,7,11-trimethyldodeca-1,6,10-trien-3-ol,mixed isomers (7212-44-4)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geraniol ; hexyl salicylate ; acetyl cedrene ; 3,7,11-trimethyldodeca-1,6,10-trien-3-ol,mixed isomers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hexyl salicylate ; acetyl cedrene ; 3,7,11-trimethyldodeca-1,6,10-trien-3-ol,mixed isomers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pêche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pêche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534B7-2453-45D4-96CA-CE2161D8A1E8}"/>
</file>

<file path=customXml/itemProps3.xml><?xml version="1.0" encoding="utf-8"?>
<ds:datastoreItem xmlns:ds="http://schemas.openxmlformats.org/officeDocument/2006/customXml" ds:itemID="{0677EEF6-3673-456D-A617-4B7871CAC277}"/>
</file>

<file path=customXml/itemProps4.xml><?xml version="1.0" encoding="utf-8"?>
<ds:datastoreItem xmlns:ds="http://schemas.openxmlformats.org/officeDocument/2006/customXml" ds:itemID="{BE2185E1-BA41-4960-BF87-632BA465E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