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monoï coco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alcohol; 7-hydroxycitronellal; linalool; coumarin; α-hexylcinnamaldehyde; benzyl salicylate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  <w:br/>
              <w:t>P302+P352 - EN CASO DE CONTACTO CON LA PIEL: lavar abundantemente con agua y jabón.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1,364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0,545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acetate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140-11-4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205-399-7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0,455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7-hydroxycitronellal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107-75-5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203-518-7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0,455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0,364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0,364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0,185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(ATE=1570 mg/kg)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Valores límite nacionales de exposición profesional y biológicos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acetate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(140-11-4)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Acetato de bencilo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62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ppm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Afrutado. tuberosa. coco.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6400 mg/kg de peso corporal Animal: rat, Guideline: OECD Guideline 401 (Acute Oral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EU Method B.3 (Acute Toxicity (Dermal))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(crónico, oral, animal/macho, 2 años)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de peso corporal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de peso corporal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de peso corporal Animal: rat, Guideline: OECD Guideline 453 (Combined Chronic Toxicity / Carcinogenicity Studies)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animal/macho,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de peso corporal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de peso corporal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monoï coco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 mg/l Test organisms (species): Oryzias latipes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110 mg/l Test organisms (species): Desmodesmus subspicatus (previous name: Scenedesmus subspicatus)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92 mg/l Test organisms (species): Desmodesmus subspicatus (previous name: Scenedesmus subspicatus)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0,92 mg/l Test organisms (species): Oryzias latipes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31,6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410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123,32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monoï coco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alcohol ; 7-hydroxycitronellal ; linalool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26/06/2026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26/06/2026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monoï coco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monoï coco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26/06/2026   Versión: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4E18A2-ACC1-46C3-8DB0-638D3227DCEF}"/>
</file>

<file path=customXml/itemProps3.xml><?xml version="1.0" encoding="utf-8"?>
<ds:datastoreItem xmlns:ds="http://schemas.openxmlformats.org/officeDocument/2006/customXml" ds:itemID="{47818927-F28F-454C-A280-7C49E385A15D}"/>
</file>

<file path=customXml/itemProps4.xml><?xml version="1.0" encoding="utf-8"?>
<ds:datastoreItem xmlns:ds="http://schemas.openxmlformats.org/officeDocument/2006/customXml" ds:itemID="{A668B200-2498-48A4-AD0B-2C41A8FCA3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