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monoï coco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alcohol; 7-hydroxycitronellal; linalool; coumarin; α-hexylcinnamaldehyde;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 tuberosa. coco.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coco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coco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18C9D-B94C-49DF-8C60-CDD2074647E8}"/>
</file>

<file path=customXml/itemProps3.xml><?xml version="1.0" encoding="utf-8"?>
<ds:datastoreItem xmlns:ds="http://schemas.openxmlformats.org/officeDocument/2006/customXml" ds:itemID="{33A5F028-22CC-454B-896E-4EC4C206ECE4}"/>
</file>

<file path=customXml/itemProps4.xml><?xml version="1.0" encoding="utf-8"?>
<ds:datastoreItem xmlns:ds="http://schemas.openxmlformats.org/officeDocument/2006/customXml" ds:itemID="{551662F6-BD3E-4767-991E-77DC48BB4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