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mon doudou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rue de la clef des champs</w:t>
              <w:br/>
              <w:t>68600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ISOBORNEOL, benzyl salicylate, alpha-iso-methylionone, HEXYL CINNAMAL, 1-(1,2,3,4,5,6,7,8-octahydro-2,3,8,8-tetramethyl-2-naphthyl)ethan-1-one, 3-(4-isobutyl-2-methylphenyl)propanal.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tricyclodecenyl-9-propionate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17511-60-3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241-514-7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dodecanenitrile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2437-25-4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219-440-1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Aldehído. Floral.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rat, Guideline: OECD Guideline 401 (Acute Oral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420 (Acute Oral Toxicity - Fixed Dose Method), Guideline: EPA OPPTS 870.1100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somnolencia o vértigo.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567,0369 mg/kg de peso corporal Animal: rat, Animal sex: 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mon doudou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0,84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0,059 mg/l Test organisms (species): Daphnia magna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0,065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mon doudou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tricyclodecenyl-9-propionate (17511-60-3)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 ; benzyl benzoate ; dodecanenitrile ; 2,6-dimethyloct-7-en-2-ol ; 3-(4-isobutyl-2-methylphenyl)propanal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dodecanenitrile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narcosis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somnolencia o vértigo.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ISOBORNEOL, benzyl salicylate, alpha-iso-methylionone, HEXYL CINNAMAL, 1-(1,2,3,4,5,6,7,8-octahydro-2,3,8,8-tetramethyl-2-naphthyl)ethan-1-one, 3-(4-isobutyl-2-methylphenyl)propanal.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mon doudou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2948"/>
      <w:gridCol w:w="4535"/>
      <w:gridCol w:w="3005"/>
    </w:tblGrid>
    <w:tr w14:paraId="48CF5240" w14:textId="77777777" w:rsidTr="008F5B08">
      <w:tblPrEx>
        <w:tblW w:w="10488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 w:val="restart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DB1125" w:rsidP="00DB1125" w14:paraId="2F81A3AB" w14:textId="70304125">
          <w:pPr>
            <w:pStyle w:val="SDSTableTextHeader"/>
          </w:pPr>
          <w:r>
            <w:drawing>
              <wp:inline>
                <wp:extent cx="1714500" cy="624078"/>
                <wp:docPr id="100001" name="" descr="Logo pour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1" name="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24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8F5B08" w14:paraId="1B70934B" w14:textId="4DAE3794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mon doudou 7%</w:t>
          </w:r>
        </w:p>
      </w:tc>
    </w:tr>
    <w:tr w14:paraId="7D50F31A" w14:textId="77777777" w:rsidTr="008F5B08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P="00DB1125" w14:paraId="54934F52" w14:textId="77777777">
          <w:pPr>
            <w:pStyle w:val="SDSTableTextHeader"/>
          </w:pPr>
        </w:p>
      </w:tc>
      <w:tc>
        <w:tcPr>
          <w:tcW w:w="453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DB1125" w14:paraId="3256D01C" w14:textId="2272BE3F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8F5B08" w14:paraId="45A8F1CC" w14:textId="64A3CD0E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2CED3BEE" w14:textId="77777777" w:rsidTr="008F5B08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P="00DB1125" w14:paraId="258B1E0A" w14:textId="77777777">
          <w:pPr>
            <w:pStyle w:val="SDSTableTextHeader"/>
          </w:pPr>
        </w:p>
      </w:tc>
      <w:tc>
        <w:tcPr>
          <w:tcW w:w="754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8F5B08" w14:paraId="650C2731" w14:textId="5DC8054E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8F5B08" w14:paraId="31267F45" w14:textId="67A5CBF0">
          <w:pPr>
            <w:pStyle w:val="SDSTableTextHeader"/>
          </w:pPr>
          <w:r>
            <w:rPr>
              <w:noProof/>
            </w:rPr>
            <w:t>Fecha de emisión: 31/07/2026   Versión: 2.0</w:t>
          </w:r>
        </w:p>
      </w:tc>
    </w:tr>
    <w:tr w14:paraId="0930DE40" w14:textId="77777777" w:rsidTr="00AE7B57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2948" w:type="dxa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371194" w:rsidP="00371194" w14:paraId="2420E657" w14:textId="77777777">
          <w:pPr>
            <w:pStyle w:val="SDSTextBlankLine"/>
          </w:pPr>
        </w:p>
      </w:tc>
      <w:tc>
        <w:tcPr>
          <w:tcW w:w="754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371194" w14:paraId="1D31590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9714F-5F8C-442C-98F8-42AB138A3B97}"/>
</file>

<file path=customXml/itemProps3.xml><?xml version="1.0" encoding="utf-8"?>
<ds:datastoreItem xmlns:ds="http://schemas.openxmlformats.org/officeDocument/2006/customXml" ds:itemID="{DC6F16E3-8176-410E-B069-219A7328BB66}"/>
</file>

<file path=customXml/itemProps4.xml><?xml version="1.0" encoding="utf-8"?>
<ds:datastoreItem xmlns:ds="http://schemas.openxmlformats.org/officeDocument/2006/customXml" ds:itemID="{880C5482-21FE-44B8-BDCF-F8BD35C009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