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mimosa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METHYLENEDIOXYPHENYL METHYLPROPANAL, HYDROXYCITRONELLAL, linalool.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0,3892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3-(5,5,6-trimethylbicyclo[2.2.1]hept-2-yl)cyclohexan-1-ol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3407-42-9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209-667-4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Repr. 2, H361</w:t>
              <w:br/>
              <w:t>Aquatic Acute 1, H400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α-methyl-1,3-benzodioxole-5-propionaldehyde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1205-17-0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214-881-6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605-042-00-9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Repr. 2, H361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Anís. En polvo.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750 mg/kg de peso corporal Animal: rat, Animal sex: male, Guideline: OECD Guideline 422 (Combined Repeated Dose Toxicity Study with the Reproduction / Developmental Toxicity Screening Test)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 mg/kg de peso corporal Animal: rat, Animal sex: female, Guideline: OECD Guideline 422 (Combined Repeated Dose Toxicity Study with the 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mimosa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8,3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mimosa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3-(5,5,6-trimethylbicyclo[2.2.1]hept-2-yl)cyclohexan-1-ol (3407-42-9)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anisaldehyde ; α-methyl-1,3-benzodioxole-5-propionaldehyde ; 7-hydroxycitronellal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 ; α-methyl-1,3-benzodioxole-5-propionaldehyde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METHYLENEDIOXYPHENYL METHYLPROPANAL, HYDROXYCITRONELLAL, linalool.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mimosa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mimosa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19/06/2026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14482-760C-4983-83A8-C80C2E5DACAA}"/>
</file>

<file path=customXml/itemProps3.xml><?xml version="1.0" encoding="utf-8"?>
<ds:datastoreItem xmlns:ds="http://schemas.openxmlformats.org/officeDocument/2006/customXml" ds:itemID="{3CEFD48D-0218-47F8-9004-BE2DD6CBECB4}"/>
</file>

<file path=customXml/itemProps4.xml><?xml version="1.0" encoding="utf-8"?>
<ds:datastoreItem xmlns:ds="http://schemas.openxmlformats.org/officeDocument/2006/customXml" ds:itemID="{EE3AC3DD-D7A1-4621-8F76-DCC3A35388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