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mangue et coco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DIPHENYL ETHER, LIMONENE.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diphenyl ether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 a la que se aplica un límite comunitario de exposición en el lugar de trabajo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101-84-8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202-981-2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1, H317</w:t>
              <w:br/>
              <w:t>Aquatic Acute 1, H400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Valores límite nacionales de exposición profesional y biológicos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diphenyl ether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(101-84-8)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UE - Valor límite de exposición profesional indicativo (IOEL)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Nombre local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Diphenyl ether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ppm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mg/m³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ppm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Referencia normativa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COMMISSION DIRECTIVE (EU) 2017/164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Vainilla. Alimentario. Afrutado.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mangue et coco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1,96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mangue et coco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DIPHENYL ETHER, LIMONENE.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04/08/2026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04/08/2026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mangue et coco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mangue et coco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04/08/2026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AE84E1-6511-41CA-AA3E-2A093A319063}"/>
</file>

<file path=customXml/itemProps3.xml><?xml version="1.0" encoding="utf-8"?>
<ds:datastoreItem xmlns:ds="http://schemas.openxmlformats.org/officeDocument/2006/customXml" ds:itemID="{4675745C-C5FF-4F9B-818A-7E7ED6EDBEAF}"/>
</file>

<file path=customXml/itemProps4.xml><?xml version="1.0" encoding="utf-8"?>
<ds:datastoreItem xmlns:ds="http://schemas.openxmlformats.org/officeDocument/2006/customXml" ds:itemID="{86FD3440-C1C3-4A33-8AC8-FA530156BB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