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maman d'amour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Peligroso para el medio acuático - Peligro crónico, categoría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Pr>
          <w:noProof/>
        </w:rPr>
        <w:t>Nocivo para los organismos acuáticos, con efectos nocivos duraderos.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para los organismos acuáticos, provoca efectos adversos a largo plazo.</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P273 - Evitar la liberación al medio ambiente.</w:t>
              <w:br/>
              <w:t>P501 - Eliminar el contenido y el recipiente en un centro de clasificación, de acuerdo con la normativa local.</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METHYLENEDIOXYPHENYL METHYLPROPANAL, LIMONENE, linalyl acetate, HEXYL CINNAMAL, TETRAMETHYL ACETYLOCTAHYDRONAPHTHALENES, linalool. Puede producir una reacción alérgica.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Sustancia(s) que no cumple(n) los criterios de PBT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Sustancia(s) que no cumple(n) los criterios de mPmB del Reglamento REACH, de conformidad con el anexo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acetate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140-11-4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de peso corporal)</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pin-2(3)-ene</w:t>
            </w:r>
          </w:p>
          <w:p w:rsidR="00827634" w:rsidRPr="0069446B" w:rsidP="009B0F8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80-56-8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201-291-9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Acute Tox. 4 (Oral), H302 (ATE=500 mg/kg de peso corporal)</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 la piel con abundante agua.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Ninguno en condiciones normales. El polvo puede provocar una irritación en los pliegues de la piel o por contacto si se lleva ropa ajustada.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 la zona de derrame.</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acetate</w:t>
            </w:r>
            <w:r w:rsidRPr="0069446B">
              <w:rPr>
                <w:noProof w:val="0"/>
                <w:color w:val="auto"/>
              </w:rPr>
              <w:t xml:space="preserve"> </w:t>
            </w:r>
            <w:r w:rsidRPr="0069446B" w:rsidR="00FD53E4">
              <w:rPr>
                <w:noProof/>
                <w:color w:val="auto"/>
              </w:rPr>
              <w:t>(140-11-4)</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Acetato de bencilo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62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d-Limoneno</w:t>
            </w:r>
          </w:p>
        </w:tc>
      </w:tr>
      <w:tr w14:paraId="70951C3E"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F"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citral</w:t>
            </w:r>
            <w:r w:rsidRPr="0069446B">
              <w:rPr>
                <w:noProof w:val="0"/>
                <w:color w:val="auto"/>
              </w:rPr>
              <w:t xml:space="preserve"> </w:t>
            </w:r>
            <w:r w:rsidRPr="0069446B" w:rsidR="00FD53E4">
              <w:rPr>
                <w:noProof/>
                <w:color w:val="auto"/>
              </w:rPr>
              <w:t>(5392-40-5)</w:t>
            </w:r>
          </w:p>
        </w:tc>
      </w:tr>
      <w:tr w14:paraId="09AA005F"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Citral</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 Sen (Sensibilizante), FIV (Fracción inhalable y vapor. La notación FIV señala a aquellos agentes químicos que se pueden presentar en el ambiente de trabajo, tanto en forma de materia particulada como vapor, por lo que las dos fases pueden coexistir, contribuyendo ambas a la exposición. Esta situación se puede dar, principalmente, en los siguientes casos: • Cuando el agente en cuestión tiene un valor “intermedio” de presión de vapor (en estos casos se tiene en cuenta la relación entre su concentración en el aire saturado de vapor y el valor del VLA-ED® y la nota se asigna, generalmente, cuando el cociente entre ambas cantidades se encuentra entre 0.1 y 10). • Por razón de la forma de uso del agente químico (por ejemplo, pulverización). • En los procesos que conlleven cambios importantes de temperatura que puedan afectar al estado físico del agente químico. • En los procesos en los que una fracción significativa del vapor puede disolverse o adsorberse en las partículas de otra sustancia, a semejanza de lo que ocurre con los agentes solubles en agua en ambientes con humedad elevada).</w:t>
            </w:r>
          </w:p>
        </w:tc>
      </w:tr>
      <w:tr w14:paraId="70951C45"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pin-2(10)-ene</w:t>
            </w:r>
            <w:r w:rsidRPr="0069446B">
              <w:rPr>
                <w:noProof w:val="0"/>
                <w:color w:val="auto"/>
              </w:rPr>
              <w:t xml:space="preserve"> </w:t>
            </w:r>
            <w:r w:rsidRPr="0069446B" w:rsidR="00FD53E4">
              <w:rPr>
                <w:noProof/>
                <w:color w:val="auto"/>
              </w:rPr>
              <w:t>(127-91-3)</w:t>
            </w:r>
          </w:p>
        </w:tc>
      </w:tr>
      <w:tr w14:paraId="09AA0060"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6"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β-pineno (monoterpeno)</w:t>
            </w:r>
          </w:p>
        </w:tc>
      </w:tr>
      <w:tr w14:paraId="70951C47"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8"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pin-2(3)-ene</w:t>
            </w:r>
            <w:r w:rsidRPr="0069446B">
              <w:rPr>
                <w:noProof w:val="0"/>
                <w:color w:val="auto"/>
              </w:rPr>
              <w:t xml:space="preserve"> </w:t>
            </w:r>
            <w:r w:rsidRPr="0069446B" w:rsidR="00FD53E4">
              <w:rPr>
                <w:noProof/>
                <w:color w:val="auto"/>
              </w:rPr>
              <w:t>(80-56-8)</w:t>
            </w:r>
          </w:p>
        </w:tc>
      </w:tr>
      <w:tr w14:paraId="09AA0061"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España - Valores límite de exposición profesional</w:t>
            </w:r>
          </w:p>
        </w:tc>
      </w:tr>
      <w:tr w14:paraId="70951C4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α-pineno (monoterpeno)</w:t>
            </w:r>
          </w:p>
        </w:tc>
      </w:tr>
      <w:tr w14:paraId="70951C4B"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113 mg/m³</w:t>
            </w:r>
          </w:p>
        </w:tc>
      </w:tr>
      <w:tr w14:paraId="70951C4C"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20 ppm</w:t>
            </w:r>
          </w:p>
        </w:tc>
      </w:tr>
      <w:tr w14:paraId="70951C4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Afrutado. Chipre. Leñoso.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peso corporal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peso corporal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de peso corporal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acetate (140-11-4)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peso corporal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peso corporal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de peso corporal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6800 mg/kg de peso corporal Animal: rat</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Inhalación -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peso corporal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peso corporal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peso corporal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pin-2(3)-ene (80-56-8)</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 clasificado (A la vista de los datos disponibles, no se cumplen los criterios de clasificación)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(crónico, oral, animal/macho, 2 años)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peso corporal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de peso corporal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de peso corporal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α-methyl-1,3-benzodioxole-5-propionaldehyde (1205-17-0)</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(animal/macho,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de peso corporal Animal: rat, Animal sex: male, Guideline: OECD Guideline 422 (Combined Repeated Dose Toxicity Study with the Reproduction / Developmental Toxicity Screening Test)</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mg/kg de peso corporal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de peso corporal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(inhalación, rata, gas,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(subcrónico, oral, animal/macho,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de peso corporal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peso corporal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(cutáneo, rata/conejo,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peso corporal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maman d'amour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Información sobre otros peligros</w:t>
      </w:r>
      <w:bookmarkEnd w:id="4"/>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Nocivo para los organismos acuáticos, con efectos nocivos duraderos.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para los organismos acuáticos, provoca efectos adversos a largo plazo.</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acetate (140-11-4)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110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92 mg/l Test organisms (species): Desmodesmus subspicatus (previous name: Scenedesmus subspicatus)</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0,92 mg/l Test organisms (species): Oryzias latipes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pin-2(3)-ene (80-56-8)</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0,303 mg/l Test organisms (species): Danio rerio (previous name: Brachydanio rerio)</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0,475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maman d'amour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pin-2(3)-ene (80-56-8)</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Sustancia(s) que no cumple(n) los criterios de PBT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Sustancia(s) que no cumple(n) los criterios de mPmB del Reglamento REACH, de conformidad con el anexo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5"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Código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“Ecotóxico”: corresponde a los residuos que presentan o pueden presentar riesgos inmediatos o diferidos para uno o más compartimentos del medio ambiente.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linalyl acetate ; linalool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(oral),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para la reproducción, categoría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 sospecha que puede perjudicar la fertilidad o dañar el feto.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 provoca efectos nocivos a largo plazo.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Tóxico para los organismos acuáticos, con efectos duraderos.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METHYLENEDIOXYPHENYL METHYLPROPANAL, LIMONENE, linalyl acetate, HEXYL CINNAMAL, TETRAMETHYL ACETYLOCTAHYDRONAPHTHALENES, linalool. Puede producir una reacción alérgica.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17</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maman d'amour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maman d'amour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10/08/2026   Versión: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BADAA50-53F0-4BC9-9B88-6F2A41AE4DD8}"/>
</file>

<file path=customXml/itemProps3.xml><?xml version="1.0" encoding="utf-8"?>
<ds:datastoreItem xmlns:ds="http://schemas.openxmlformats.org/officeDocument/2006/customXml" ds:itemID="{F83EAB8C-5F76-4AC8-A015-AF3771D6842A}"/>
</file>

<file path=customXml/itemProps4.xml><?xml version="1.0" encoding="utf-8"?>
<ds:datastoreItem xmlns:ds="http://schemas.openxmlformats.org/officeDocument/2006/customXml" ds:itemID="{3FBE3EC5-EC3C-4E61-940B-0F21C8EBFF90}"/>
</file>

<file path=docProps/app.xml><?xml version="1.0" encoding="utf-8"?>
<Properties xmlns="http://schemas.openxmlformats.org/officeDocument/2006/extended-properties" xmlns:vt="http://schemas.openxmlformats.org/officeDocument/2006/docPropsVTypes">
  <Template>Normal</Template>
  <TotalTime>219</TotalTime>
  <Pages>17</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