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lotus et coton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LAB SAS</w:t>
              <w:br/>
              <w:t>1 rue de la clef des champs</w:t>
              <w:br/>
              <w:t>68600 , Volgelsheim</w:t>
              <w:br/>
              <w:t>France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No clasificado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Que se sepa, el producto no presenta ningún riesgo especial siempre que se respeten las normas generales de higiene industrial.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P501 - Eliminar el contenido y el recipiente en un centro de clasificación, de acuerdo con la normativa local.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Frases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Contiene TETRAHYDROLINALOOL, CINNAMAL, ISOBORNEOL, linalool, COUMARIN, ISOEUGENOL. Puede producir una reacción alérgica.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4-tert-butylcyclohexyl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32210-23-4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250-954-9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0,8911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0,5096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0,3185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203-212-3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0,1911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0,00357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(Cutánea), H312 (ATE=1260 mg/kg de peso corporal)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0,00189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(ATE=500 mg/kg de peso corporal)</w:t>
              <w:br/>
              <w:t>Acute Tox. 4 (Cutánea), H312 (ATE=1100 mg/kg de peso corporal)</w:t>
              <w:br/>
              <w:t>Acute Tox. 4 (Inhalación), H332 (ATE=1,5 mg/l/4h)</w:t>
              <w:br/>
              <w:t>Skin Irrit. 2, H315</w:t>
              <w:br/>
              <w:t>Eye Irrit. 2, H319</w:t>
              <w:br/>
              <w:t>Skin Sens. 1A, H317</w:t>
              <w:br/>
              <w:t>STOT SE 3, H335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Límites de concentración específicos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Límites de concentración específicos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  <w:tr w14:paraId="466CEF49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isoeugenol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97-54-1</w:t>
            </w:r>
          </w:p>
          <w:p w:rsidR="00827634" w:rsidRPr="0069446B" w:rsidP="009B0F88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202-590-7</w:t>
            </w:r>
          </w:p>
          <w:p w:rsidR="00827634" w:rsidRPr="0069446B" w:rsidP="009B0F88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604-094-00-X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Lavar la piel con abundante agua.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puede provocar una irritación en los pliegues de la piel o por contacto si se lleva ropa ajustada.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Ventilar la zona de derrame.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Usando una pala limpia, coloque el material en un recipiente seco y cúbralo sin comprimirlo.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Floral. En polvo. Almizcle. Leñoso.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de peso corporal Animal: rat, Guideline: OECD Guideline 401 (Acute Oral Toxicity), 95% CL: 2755 - 3600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Animal sex: female, Guideline: OECD Guideline 402 (Acute Dermal Toxicity)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de peso corporal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de peso corporal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de peso corporal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de peso corporal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Inhalación - Rata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300 – 2000 mg/kg de peso corporal Animal: rat, Animal sex: female, Guideline: OECD Guideline 420 (Acute Oral Toxicity - Fixed Dose Method), Guideline: EU Method B.1 bis (Acute Oral Toxicity - Fixed Dose Procedure)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4680 mg/kg Source: NITE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de peso corporal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de peso corporal Animal: mouse, Guideline: OECD Guideline 401 (Acute Oral Toxicity), 95% CL: 2620 - 3620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de peso corporal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de peso corporal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4,71 Temp.: 26,5 °C Concentration: 1 vol</w:t>
            </w:r>
            <w:r w:rsidRPr="0069446B">
              <w:rPr>
                <w:rFonts w:hint="eastAsia"/>
                <w:noProof/>
                <w:lang w:eastAsia="ja-JP"/>
              </w:rPr>
              <w:t>%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clasificado (A la vista de los datos disponibles, no se cumplen los criterios de clasificación)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(animal/hembra,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de peso corporal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irritar las vías respiratorias.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(cutáneo, rata/conejo,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de peso corporal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(subcrónico, oral, animal/hembra,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de peso corporal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lotus et coton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8,6 mg/l Test organisms (species): Cyprinus carpio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5,3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0,549 mg/l Source: ECOSAR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(crónico)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lotus et coton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isoeugenol (97-54-1)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1D83F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D2347BE" w14:textId="184090CF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4-tert-butylcyclohexyl acetate (32210-23-4)</w:t>
            </w:r>
          </w:p>
        </w:tc>
      </w:tr>
      <w:tr w14:paraId="11C9E37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522CF1B" w14:textId="5E0B1E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702F0D" w14:textId="1EE1A24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4,8 Source: Pubchem</w:t>
            </w:r>
          </w:p>
        </w:tc>
      </w:tr>
    </w:tbl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anisaldehyde ; 3,7-dimethyloctan-3-ol ; cinnamaldehyde ; linalool ; isoeugenol ; 4-tert-butylcyclohexyl acetate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 ; cinnamaldehyde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(Cutánea)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(cutánea),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para la reproducción,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– Exposición única, categoría 3, irritación de las vías respiratorias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contacto con la piel.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irritar las vías respiratorias.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 sospecha que puede perjudicar la fertilidad o dañar el feto.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Contiene TETRAHYDROLINALOOL, CINNAMAL, ISOBORNEOL, linalool, COUMARIN, ISOEUGENOL. Puede producir una reacción alérgica.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02/09/2026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lotus et coton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lotus et coton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02/09/2026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25E3381-2581-497D-8E8C-24560E42CE67}"/>
</file>

<file path=customXml/itemProps3.xml><?xml version="1.0" encoding="utf-8"?>
<ds:datastoreItem xmlns:ds="http://schemas.openxmlformats.org/officeDocument/2006/customXml" ds:itemID="{530B8207-02C0-4AFA-8E90-28FD4887271B}"/>
</file>

<file path=customXml/itemProps4.xml><?xml version="1.0" encoding="utf-8"?>
<ds:datastoreItem xmlns:ds="http://schemas.openxmlformats.org/officeDocument/2006/customXml" ds:itemID="{63301A13-1D85-4D71-9671-1FB20C31DE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