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lotus blanc et coton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2-benzylideneheptanal; 3,7-dimethyloctan-3-ol; cinnamaldehyde; 1-(1,2,3,4,5,6,7,8-octahydro-2,3,8,8-tetramethyl-2-naphthyl)ethan-1-one; 4-tert-butylcyclohexyl acetate; linalool; coumarin; isoeugenol; benzyl salicylate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agua y jabón.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1,273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78-69-3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201-133-9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0,455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0,273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0,273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2-benzylideneheptanal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122-40-7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204-541-5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0,0051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Acute Tox. 4 (Cutánea), H312 (ATE=1100 mg/kg de peso corporal)</w:t>
              <w:br/>
              <w:t>Acute Tox. 4 (Inhalación),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En polvo. Almizcle. Leñoso.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3730 mg/kg de peso corporal Animal: rat, Guideline: OECD Guideline 401 (Acute Oral Toxicity), 95% CL: 3190 - 4370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8270 mg/kg de peso corporal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de peso corporal Animal: rat, Animal sex: female, Guideline: OECD Guideline 420 (Acute Oral Toxicity - Fixed Dose Method), Guideline: EU Method B.1 bis (Acute Oral Toxicity - Fixed Dose Procedure)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4680 mg/kg Source: NITE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4,53 Temp.: 26,8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4,53 Temp.: 26,8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irritar las vías respiratorias.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lotus blanc et coton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13,393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0,91 mg/l Test organisms (species): not specified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0,28 mg/l Test organisms (species): Daphnia sp.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1,5 mg/l Test organisms (species): not specified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not specified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0,041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8,9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21,6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0,549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Vela lotus blanc et coton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4,8 Source: Pubchem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3,7-dimethyloctan-3-ol ; cinnamaldehyde ; linalool ; isoeugenol ; 4-tert-butylcyclohexyl acetate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cinnamaldehyde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– Exposición única, categoría 3, irritación de las vías respiratorias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irritar las vías respiratorias.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02/09/2026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02/09/2026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lotus blanc et coton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lotus blanc et coton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02/09/2026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0ECB94-FE21-484B-8DC2-858274CD97A1}"/>
</file>

<file path=customXml/itemProps3.xml><?xml version="1.0" encoding="utf-8"?>
<ds:datastoreItem xmlns:ds="http://schemas.openxmlformats.org/officeDocument/2006/customXml" ds:itemID="{EBD1AA7E-B1B0-4E60-BF44-087F5C9F66C8}"/>
</file>

<file path=customXml/itemProps4.xml><?xml version="1.0" encoding="utf-8"?>
<ds:datastoreItem xmlns:ds="http://schemas.openxmlformats.org/officeDocument/2006/customXml" ds:itemID="{1DF59635-F816-4184-9E45-6AE9AA84C2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