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lilas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alcohol; 7-hydroxycitronellal; isoeugenol; cinnamaldehyde; p-tolylacetaldehyde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2-phenylethanol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60-12-8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200-456-2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(ATE=1610 mg/kg)</w:t>
              <w:br/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0,0343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(Cutánea), H312 (ATE=1100 mg/kg de peso corporal)</w:t>
              <w:br/>
              <w:t>Acute Tox. 4 (Inhalación),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p-tolylacetaldehyde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104-09-6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203-173-2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0,00637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2535 mg/kg de peso corporal Animal: rabbit, Guideline: OECD Guideline 402 (Acute Dermal Toxicity), 95% CL: 1769 - 3634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4,63 mg/l air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510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lilas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215 – 464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287,17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lilas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2-phenylethanol (60-12-8)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p-tolylacetaldehyde (104-09-6)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2-phenylethanol ; cinnamyl alcohol ; 7-hydroxycitronellal ; anisaldehyde ; isoeugenol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cinnamyl alcohol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lilas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lilas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14/04/2026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AA40C-46BA-4240-86E7-11BB2589444A}"/>
</file>

<file path=customXml/itemProps3.xml><?xml version="1.0" encoding="utf-8"?>
<ds:datastoreItem xmlns:ds="http://schemas.openxmlformats.org/officeDocument/2006/customXml" ds:itemID="{34EE1BDD-2CAA-47EF-9B08-66F4722DDAA9}"/>
</file>

<file path=customXml/itemProps4.xml><?xml version="1.0" encoding="utf-8"?>
<ds:datastoreItem xmlns:ds="http://schemas.openxmlformats.org/officeDocument/2006/customXml" ds:itemID="{A3136C01-F414-4764-B25A-1AFC29774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