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fraise chocolat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α-hexylcinnamaldehyde; coumarin; 4-tert-butylcyclohexyl acetate; ethyl 2,3-epoxy-3-phenylbutyrate; 2-Propenoic acid, 3-phenyl-, methyl ester; 4-hydroxy-2,5-dimethylfuran-2(3H)-one; (E)-1-(2,6,6-trimethyl-1,3-cyclohexadien-1-yl)-2-buten-1-one;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88-41-5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201-828-7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 2,3-epoxy-3-phenylbutyrate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77-83-8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201-061-8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2-Propenoic acid, 3-phenyl-, methyl ester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103-26-4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203-093-8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Frutas rojas. chocolate.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2-Propenoic acid, 3-phenyl-, methyl ester (103-26-4)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2610 mg/kg de peso corporal Animal: rat, Guideline: OECD Guideline 401 (Acute Oral Toxicity), 95% CL: 2000 - 3410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2-Propenoic acid, 3-phenyl-, methyl ester (103-26-4)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4,6 Temp.: 20 °C Concentration: 299 mg</w:t>
            </w:r>
            <w:r w:rsidRPr="0069446B">
              <w:rPr>
                <w:rFonts w:hint="eastAsia"/>
                <w:noProof/>
                <w:lang w:eastAsia="ja-JP"/>
              </w:rPr>
              <w:t>/L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2-Propenoic acid, 3-phenyl-, methyl ester (103-26-4)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4,6 Temp.: 20 °C Concentration: 299 mg</w:t>
            </w:r>
            <w:r w:rsidRPr="0069446B">
              <w:rPr>
                <w:rFonts w:hint="eastAsia"/>
                <w:noProof/>
                <w:lang w:eastAsia="ja-JP"/>
              </w:rPr>
              <w:t>/L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500 mg/kg de peso corporal Animal: rat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&gt; 1000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fraise chocolat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4,2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42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2-Propenoic acid, 3-phenyl-, methyl ester (103-26-4)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2,76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fraise chocolat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2-tert-butylcyclohexyl acetate (88-41-5)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 2,3-epoxy-3-phenylbutyrate (77-83-8)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2-Propenoic acid, 3-phenyl-, methyl ester (103-26-4)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4-tert-butylcyclohexyl acetate ; 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 2,3-epoxy-3-phenylbutyrate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15/05/2026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fraise chocolat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fraise chocolat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15/05/2026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CA21A8-851F-4403-8198-310B29CABFE7}"/>
</file>

<file path=customXml/itemProps3.xml><?xml version="1.0" encoding="utf-8"?>
<ds:datastoreItem xmlns:ds="http://schemas.openxmlformats.org/officeDocument/2006/customXml" ds:itemID="{F49A3A5F-A9D2-4A39-9363-5AE26C4365F8}"/>
</file>

<file path=customXml/itemProps4.xml><?xml version="1.0" encoding="utf-8"?>
<ds:datastoreItem xmlns:ds="http://schemas.openxmlformats.org/officeDocument/2006/customXml" ds:itemID="{7A0915FC-88B8-4099-A119-E78FCF7083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