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feu de bois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Acétate de 4-tert-butylcyclohexyle, cashmeran.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Acétate de 4-tert-butylcyclohexyle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32210-23-4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250-954-9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[3R-(3α,3aβ,7β,8aα)]-2,3,4,7,8,8a-hexahydro-3,6,8,8-tetramethyl-1H-3a,7-methanoazulene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469-61-4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207-418-4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[3R-(3α,3aβ,7β,8aα)]-octahydro-3,8,8-trimethyl-6-methylene-1H-3a,7-methanoazulene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546-28-1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208-898-8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0,0462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Asp. Tox. 1, H304</w:t>
              <w:br/>
              <w:t>Aquatic Acute 1, H400 (M=10)</w:t>
              <w:br/>
              <w:t>Aquatic Chronic 1, H410 (M=10)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Leñoso. Cuero.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de peso corporal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de peso corporal Animal: rat, Animal sex: male, Guideline: OECD Guideline 421 (Reproduction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 de bois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feu de bois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[3R-(3α,3aβ,7β,8aα)]-octahydro-3,8,8-trimethyl-6-methylene-1H-3a,7-methanoazulene (546-28-1)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Acétate de 4-tert-butylcyclohexyle (32210-23-4)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[3R-(3α,3aβ,7β,8aα)]-2,3,4,7,8,8a-hexahydro-3,6,8,8-tetramethyl-1H-3a,7-methanoazulene (469-61-4)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p w:rsidR="00A65092" w:rsidRPr="0069446B" w:rsidP="00A65092" w14:paraId="1965DBDA" w14:textId="0FFE3A91">
      <w:pPr>
        <w:pStyle w:val="SDSTextNormal"/>
      </w:pPr>
      <w:r>
        <w:rPr>
          <w:noProof/>
        </w:rPr>
        <w:t>No contiene ninguna sustancia incluida en  el Anexo XVII de REACH (Condiciones de restricción)</w:t>
      </w:r>
    </w:p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por aspiración,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ser mortal en caso de ingestión y de penetración en las vías respiratorias.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Acétate de 4-tert-butylcyclohexyle, cashmeran.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09/06/2026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 de bois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feu de bois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09/06/2026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3EB36D-5158-4922-8288-A21E496C9ED0}"/>
</file>

<file path=customXml/itemProps3.xml><?xml version="1.0" encoding="utf-8"?>
<ds:datastoreItem xmlns:ds="http://schemas.openxmlformats.org/officeDocument/2006/customXml" ds:itemID="{637ADA9E-C208-4DA3-8CDB-19A242949F74}"/>
</file>

<file path=customXml/itemProps4.xml><?xml version="1.0" encoding="utf-8"?>
<ds:datastoreItem xmlns:ds="http://schemas.openxmlformats.org/officeDocument/2006/customXml" ds:itemID="{D2715B68-D2CB-43C8-8608-83CE300554B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