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eucalyptus et orange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Sólidos inflamables No clasificado</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39CDAC99" w14:textId="77777777">
      <w:pPr>
        <w:pStyle w:val="SDSTextNormal"/>
        <w:bidi w:val="0"/>
        <w:rPr>
          <w:rtl w:val="0"/>
        </w:rPr>
      </w:pPr>
      <w:r w:rsidRPr="0069446B">
        <w:rPr>
          <w:rtl w:val="0"/>
        </w:rPr>
        <w:t>No se dispone de información adicional</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P501 - Eliminar el contenido y el recipiente en un centro de clasificación, de acuerdo con la normativa local.</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LIMONENE, CITRAL, EUCALYPTOL. Puede producir una reacción alérgica.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 la piel con abundante agua.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Ninguno en condiciones normales. El polvo puede provocar una irritación en los pliegues de la piel o por contacto si se lleva ropa ajustada.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 la zona de derrame.</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d-Limoneno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citral</w:t>
            </w:r>
            <w:r w:rsidRPr="0069446B">
              <w:rPr>
                <w:noProof w:val="0"/>
                <w:color w:val="auto"/>
              </w:rPr>
              <w:t xml:space="preserve"> </w:t>
            </w:r>
            <w:r w:rsidRPr="0069446B" w:rsidR="00FD53E4">
              <w:rPr>
                <w:noProof/>
                <w:color w:val="auto"/>
              </w:rPr>
              <w:t>(5392-40-5)</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Citral</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 Sen (Sensibilizante), FIV (Fracción inhalable y vapor. La notación FIV señala a aquellos agentes químicos que se pueden presentar en el ambiente de trabajo, tanto en forma de materia particulada como vapor, por lo que las dos fases pueden coexistir, contribuyendo ambas a la exposición. Esta situación se puede dar, principalmente, en los siguientes casos: • Cuando el agente en cuestión tiene un valor “intermedio” de presión de vapor (en estos casos se tiene en cuenta la relación entre su concentración en el aire saturado de vapor y el valor del VLA-ED® y la nota se asigna, generalmente, cuando el cociente entre ambas cantidades se encuentra entre 0.1 y 10). • Por razón de la forma de uso del agente químico (por ejemplo, pulverización). • En los procesos que conlleven cambios importantes de temperatura que puedan afectar al estado físico del agente químico. • En los procesos en los que una fracción significativa del vapor puede disolverse o adsorberse en las partículas de otra sustancia, a semejanza de lo que ocurre con los agentes solubles en agua en ambientes con humedad elevada).</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Conífera. Aldehído. Rural.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de peso corporal Animal: rat</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peso corporal Animal: rat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 clasificado (A la vista de los datos disponibles, no se cumplen los criterios de clasificación)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peso corporal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peso corporal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(subcrónico, oral, animal/macho,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peso corporal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de peso corporal Animal: rat, Animal sex: female, Guideline: other:, Guideline: OECD Guideline 407 (Repeated Dose 28-Day Oral Toxicity Study in Rodents), Guideline: EPA OPPTS 870.3150 (90-Day Oral Toxicity in Non-rodents)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eucalyptus et orange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Este producto no se considera nocivo para los organismos acuáticos o no que cause efectos adversos a largo plazo en el medio 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 clasificado (A la vista de los datos disponibles, no se cumplen los criterios de clasificación)</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eucalyptus et orange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citral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Peligroso para el medio acuático – Peligro agudo, categoría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Sol. No clasificado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Sólidos inflamables No clasificado</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LIMONENE, CITRAL, EUCALYPTOL. Puede producir una reacción alérgica.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Sol. No clasificado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Criterio experto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eucalyptus et orange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eucalyptus et orange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12/08/2026   Versión: 6.0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ECA303B-AE95-4FFF-8AC7-FF904F664984}"/>
</file>

<file path=customXml/itemProps3.xml><?xml version="1.0" encoding="utf-8"?>
<ds:datastoreItem xmlns:ds="http://schemas.openxmlformats.org/officeDocument/2006/customXml" ds:itemID="{319951D4-CFF2-4353-A91C-90F6ACD8FF10}"/>
</file>

<file path=customXml/itemProps4.xml><?xml version="1.0" encoding="utf-8"?>
<ds:datastoreItem xmlns:ds="http://schemas.openxmlformats.org/officeDocument/2006/customXml" ds:itemID="{5049507A-7A3C-46C4-A52E-38FBFA0DEEE5}"/>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