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éclats d'amande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Destinado al público en general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uso principal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por el consumidor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linalyl acetate, linalool.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100-52-7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202-860-4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605-012-00-5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0,3297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Acute Tox. 4 (Inhalación), H332 (ATE=3 mg/l/4h)</w:t>
              <w:br/>
              <w:t>Skin Irrit. 2, H315</w:t>
              <w:br/>
              <w:t>Eye Irrit. 2, H319</w:t>
              <w:br/>
              <w:t>Repr. 2, H361</w:t>
              <w:br/>
              <w:t>STOT SE 3, H335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0,2478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0,2478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0,2471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Iridescente. Hesperidaceae. Almendra. Oriental. balsámico.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de peso corporal Animal: rat, Guideline: OECD Guideline 401 (Acute Oral Toxicity), 95% CL: 2755 - 3600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1430 mg/kg de peso corporal Animal: rat, Animal sex: male, Guideline: OECD Guideline 401 (Acute Oral Toxicity), 95% CL: 1,33 - 1,54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CL50 Inhalación -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 – 5 mg/l air Animal: rat, Guideline: OECD Guideline 436 (Acute Inhalation Toxicity: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irritar las vías respiratorias.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éclats d'amande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19,7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33,1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8,05 mg/l Test organisms (species): Raphidocelis subcapitata (previous names: Pseudokirchneriella subcapitata, Selenastrum capricornutum)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0,12 mg/l Test organisms (species): Pimephales promelas Duration: '7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éclats d'amande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benzaldehyde (100-52-7)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 ; anisaldehyde ; benzaldehyde ; linalool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 ; benzaldehyde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– Exposición única, categoría 3, irritación de las vías respiratorias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irritar las vías respiratorias.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linalyl acetate, linalool.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22/06/2026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22/06/2026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11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éclats d'amande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éclats d'amande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22/06/2026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0FE8DD-3614-41B5-B037-3DF8AF6B37AA}"/>
</file>

<file path=customXml/itemProps3.xml><?xml version="1.0" encoding="utf-8"?>
<ds:datastoreItem xmlns:ds="http://schemas.openxmlformats.org/officeDocument/2006/customXml" ds:itemID="{46C93574-8049-4404-BBC7-BB3FD61A591F}"/>
</file>

<file path=customXml/itemProps4.xml><?xml version="1.0" encoding="utf-8"?>
<ds:datastoreItem xmlns:ds="http://schemas.openxmlformats.org/officeDocument/2006/customXml" ds:itemID="{575316AD-1E3A-43D3-980D-048CB79EDD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