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douce nuit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Bruma perfumada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CYCLAMEN ALDEHYDE, HYDROXYCITRONELLAL, 3-(4-isobutyl-2-methylphenyl)propanal, P-MENTHAN-7-OL.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2,275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 (ATE=1,5 mg/l/4h)</w:t>
              <w:br/>
              <w:t>Skin Irrit. 2, H315</w:t>
              <w:br/>
              <w:t>Skin Sens. 1,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cis-4-(isopropyl)cyclohexanemethanol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13828-37-0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237-539-8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Almizcle. En polvo.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de peso corporal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peso corporal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de peso corporal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peso corporal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420 (Acute Oral Toxicity - Fixed Dose Method), Guideline: EPA OPPTS 870.1100 (Acute Oral Toxicity)</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cyclamen aldehyde (103-95-7)</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25 mg/kg de peso corporal Animal: rat, Animal sex: male, Guideline: OECD Guideline 415 [One-Generation Reproduction Toxicity Study (before 9 October 2017)]</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25 mg/kg de peso corporal Animal: rat, Animal sex: female, Guideline: OECD Guideline 415 [One-Generation Reproduction Toxicity Study (before 9 October 2017)]</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peso corporal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peso corporal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douce nuit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2,49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douce nuit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cis-4-(isopropyl)cyclohexanemethanol (13828-37-0)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5"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3"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cyclamen aldehyde ; 7-hydroxycitronellal ; anisaldehyde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cyclamen aldehyde ; anisaldehyde ; d-limonene ; 1,4-dioxacycloheptadecane-5,17-dione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CYCLAMEN ALDEHYDE, HYDROXYCITRONELLAL, 3-(4-isobutyl-2-methylphenyl)propanal, P-MENTHAN-7-OL.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douce nuit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douce nuit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12/08/2026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CAEDAA8-E3C2-4539-B6AA-CBBA723C2C43}"/>
</file>

<file path=customXml/itemProps3.xml><?xml version="1.0" encoding="utf-8"?>
<ds:datastoreItem xmlns:ds="http://schemas.openxmlformats.org/officeDocument/2006/customXml" ds:itemID="{A94E6D50-DDF2-422D-B728-61E8F0EBBA3E}"/>
</file>

<file path=customXml/itemProps4.xml><?xml version="1.0" encoding="utf-8"?>
<ds:datastoreItem xmlns:ds="http://schemas.openxmlformats.org/officeDocument/2006/customXml" ds:itemID="{9B00ECD1-BBC3-4A03-860F-79C47F593AA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