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yuzu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Sólidos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Que se sepa, el producto no presenta ningún riesgo especial siempre que se respeten las normas generales de higiene industrial.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TETRAHYDROLINALOOL, CITRAL, linalool, LIMONENE.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Citral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Afrutado.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yuzu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yuzu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Peligroso para el medio acuático – Peligro agudo, categoría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No clasificado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TETRAHYDROLINALOOL, CITRAL, linalool, LIMONENE.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yuzu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yuzu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11/09/2026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1EDE0A3-9CFF-4606-BD82-8473754F04A0}"/>
</file>

<file path=customXml/itemProps3.xml><?xml version="1.0" encoding="utf-8"?>
<ds:datastoreItem xmlns:ds="http://schemas.openxmlformats.org/officeDocument/2006/customXml" ds:itemID="{E5B8728D-6A33-4CC7-8E5F-022AA81B3E71}"/>
</file>

<file path=customXml/itemProps4.xml><?xml version="1.0" encoding="utf-8"?>
<ds:datastoreItem xmlns:ds="http://schemas.openxmlformats.org/officeDocument/2006/customXml" ds:itemID="{9AD5DBD4-4CA6-453C-A2AE-B32EB4D79440}"/>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