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de thé glacé pêche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linalool, linalyl acetate, TETRAHYDROLINALOOL, CITRONELLOL, GERANYL ACETATE.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0,427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3,7-dimethyloctan-3-ol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78-69-3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201-133-9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105-87-3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203-341-5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1, H317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Afrutado. Floral.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9000 mg/kg de peso corporal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8270 mg/kg de peso corporal Animal: rat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6330 mg/kg de peso corporal Animal: rat, 95% CL: 5450 - 7340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de peso corporal Animal: rat, Guideline: other:</w:t>
            </w:r>
          </w:p>
        </w:tc>
      </w:tr>
      <w:tr w14:paraId="1DE6168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E7C06A1" w14:textId="0EA9F377">
            <w:pPr>
              <w:pStyle w:val="SDSTableTextNormal"/>
              <w:rPr>
                <w:noProof w:val="0"/>
                <w:lang w:val="de-DE"/>
              </w:rPr>
            </w:pPr>
            <w:r w:rsidRPr="0069446B">
              <w:rPr>
                <w:noProof/>
                <w:lang w:val="de-DE"/>
              </w:rPr>
              <w:t>NOAEC (inhalación, rata, polvo/niebla/humo,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1724A9" w14:textId="17F52C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0,063 mg/l air Animal: rat, Guideline: OECD Guideline 412 (Subacute Inhalation Toxicity: 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de peso corporal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thé glacé pêche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13,393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8,9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14,2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21,6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14,66 mg/l Test organisms (species): Leuciscus idus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17,48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 mg/l Test organisms (species):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68,12 mg/l Test organisms (species): Leuciscus idus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14,1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3,72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Vela de thé glacé pêche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linalool ; linalyl acetate ; 3,7-dimethyloctan-3-ol ; geranyl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linalool, linalyl acetate, TETRAHYDROLINALOOL, CITRONELLOL, GERANYL ACETATE.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30/03/2026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30/03/2026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thé glacé pêche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thé glacé pêche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30/03/2026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09C932-9B51-4CCC-B3CE-C5E48E5B17E4}"/>
</file>

<file path=customXml/itemProps3.xml><?xml version="1.0" encoding="utf-8"?>
<ds:datastoreItem xmlns:ds="http://schemas.openxmlformats.org/officeDocument/2006/customXml" ds:itemID="{353800EA-D6E5-442B-9A56-CC7FCE94D513}"/>
</file>

<file path=customXml/itemProps4.xml><?xml version="1.0" encoding="utf-8"?>
<ds:datastoreItem xmlns:ds="http://schemas.openxmlformats.org/officeDocument/2006/customXml" ds:itemID="{36E572F0-378F-4F08-BC11-FD77CE5B6F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