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thé chaï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Acétate de 4-tert-butylcyclohexyle; 1-(1,2,3,4,5,6,7,8-octahydro-2,3,8,8-tetramethyl-2-naphthyl)ethan-1-one; coumarin; éter metílico de cedro; cineole; alpha-iso-methylionone; cashmeran; cinnamaldehyde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Acétate de 4-tert-butylcyclohexyle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0,2919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éter metílico de cedro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0,2919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0,1918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0,0875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Té. Picante.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de peso corporal Animal: rat, Animal sex: female, Guideline: OECD Guideline 401 (Acute Oral Toxicity), 95% CL: 2043 - 3529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de peso corporal Animal: rat, Animal sex: male, Guideline: OECD Guideline 421 (Reproduction / Developmental Toxicity Screening Test)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de peso corporal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de peso corporal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de peso corporal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thé chaï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thé chaï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Acétate de 4-tert-butylcyclohexyle (32210-23-4)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éter metílico de cedro (19870-74-7)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cineole ; cinnamaldehyde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29/07/2026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29/07/2026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thé chaï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  <w:r>
            <w:rPr>
              <w:b/>
              <w:noProof/>
              <w:color w:val="FF0000"/>
              <w:sz w:val="24"/>
              <w:szCs w:val="24"/>
            </w:rPr>
            <w:t>*** BORRADOR ***</w:t>
          </w: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thé chaï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  <w:r>
            <w:rPr>
              <w:b/>
              <w:noProof/>
              <w:color w:val="FF0000"/>
              <w:sz w:val="24"/>
              <w:szCs w:val="24"/>
            </w:rPr>
            <w:t>*** BORRADOR ***</w:t>
          </w: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29/07/2026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8F33D-9A5F-4959-80EB-8A5B3AFC63ED}"/>
</file>

<file path=customXml/itemProps3.xml><?xml version="1.0" encoding="utf-8"?>
<ds:datastoreItem xmlns:ds="http://schemas.openxmlformats.org/officeDocument/2006/customXml" ds:itemID="{BFF6B9E0-6A67-432A-BDA0-EA2F92D65EE8}"/>
</file>

<file path=customXml/itemProps4.xml><?xml version="1.0" encoding="utf-8"?>
<ds:datastoreItem xmlns:ds="http://schemas.openxmlformats.org/officeDocument/2006/customXml" ds:itemID="{7205FD24-9E0B-4BD5-8188-A422949ACA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