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speculoos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0,53655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 sustancia a la que se aplica un límite comunitario de exposición en el lugar de trabajo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de peso corporal)</w:t>
              <w:br/>
              <w:t>Acute Tox. 3 (Inhalación), H331</w:t>
              <w:br/>
              <w:t>Skin Irrit. 2, H315</w:t>
              <w:br/>
              <w:t>Eye Dam. 1, H318</w:t>
              <w:br/>
              <w:t>Skin Sens. 1, H317</w:t>
              <w:br/>
              <w:t>STOT RE 2, H373</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α-pineno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Valor límite de exposición profesional indicativo (IOEL)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Diacetyl; Butanedione</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4"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5"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Diacetilo</w:t>
            </w:r>
          </w:p>
        </w:tc>
      </w:tr>
      <w:tr w14:paraId="70951C48"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9"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VLI (Agente químico para el que la U.E. estableció en su día un valor límite indicativo).</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5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5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5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54"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55"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5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Vainilla.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Toxicidad específica en determinados órganos (STOT) – exposición repetida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Puede provocar daños en los órganos tras exposiciones prolongadas o repetidas.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speculoos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pin-2(3)-ene (80-56-8)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0,303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speculoos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pin-2(3)-ene (80-56-8)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benzaldehyde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benzaldehyde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(cutánea),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Exposiciones repetidas, categoría 2</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en caso de inhalación.</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daños en los órganos tras exposiciones prolongadas o repetidas.</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speculoos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speculoos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21/09/2026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0E18DDB-1722-46A4-9103-AAB130229D37}"/>
</file>

<file path=customXml/itemProps3.xml><?xml version="1.0" encoding="utf-8"?>
<ds:datastoreItem xmlns:ds="http://schemas.openxmlformats.org/officeDocument/2006/customXml" ds:itemID="{378C9924-9519-431F-8D2F-AC10ED143601}"/>
</file>

<file path=customXml/itemProps4.xml><?xml version="1.0" encoding="utf-8"?>
<ds:datastoreItem xmlns:ds="http://schemas.openxmlformats.org/officeDocument/2006/customXml" ds:itemID="{1526B47D-20C2-4649-B5AE-73A04DB640A3}"/>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