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spa feeling 5%</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Que se sepa, el producto no presenta ningún riesgo especial siempre que se respeten las normas generales de higiene industrial.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linalool, HEXYL CINNAMAL, TETRAMETHYL ACETYLOCTAHYDRONAPHTHALENES.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Aunque no se identifican riesgos específicos, el personal de primeros auxilios debe usar protección ocular, guantes y mascarilla desechable. Se debe considerar el uso de protección adicional si hay probabilidad de que la exposición se repita o se prolongue.</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Flor blanca.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peso corporal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spa feeling 5%</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spa feeling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Peligroso para el medio acuático – Peligro agudo, categoría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linalool, HEXYL CINNAMAL, TETRAMETHYL ACETYLOCTAHYDRONAPHTHALENES.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spa feeling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spa feeling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05/10/2026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DDE7DB7-1EBA-4FCA-9992-15FA78A825D5}"/>
</file>

<file path=customXml/itemProps3.xml><?xml version="1.0" encoding="utf-8"?>
<ds:datastoreItem xmlns:ds="http://schemas.openxmlformats.org/officeDocument/2006/customXml" ds:itemID="{EF7F64F0-341F-4283-B381-A52EEA531992}"/>
</file>

<file path=customXml/itemProps4.xml><?xml version="1.0" encoding="utf-8"?>
<ds:datastoreItem xmlns:ds="http://schemas.openxmlformats.org/officeDocument/2006/customXml" ds:itemID="{38EF0275-461D-439A-851A-A93A5F608881}"/>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