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de pain d'épices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sidRPr="0069446B">
        <w:rPr>
          <w:noProof/>
        </w:rPr>
        <w:t>Puede provocar una reacción alérgica en la piel.</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(E)-anethole; benzyl alcohol; Eugenol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Puede provocar una alergia cutánea.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P302+P352 - EN CASO DE CONTACTO CON LA PIEL: Lavar abundantemente agua y jabón.</w:t>
              <w:br/>
              <w:t>P333+P313 - En caso de irritación o erupción cutánea: consultar a un médico.</w:t>
              <w:br/>
              <w:t>P501 - Eliminar el contenido y 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0,5838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(ATE=1570 mg/kg)</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0,35581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(Cutánea), H312 (ATE=1260 mg/kg de peso corporal)</w:t>
              <w:br/>
              <w:t>Skin Irrit. 2, H315</w:t>
              <w:br/>
              <w:t>Eye Irrit. 2, H319</w:t>
              <w:br/>
              <w:t>Skin Sens. 1A, H317</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(E)-anethole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4180-23-8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224-052-0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0,0665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0,0182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1B, H317</w:t>
              <w:br/>
              <w:t>Asp. Tox. 1, H304</w:t>
              <w:br/>
              <w:t>Aquatic Acute 1, H400</w:t>
              <w:br/>
              <w:t>Aquatic Chronic 1, H410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0,0182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pin-2(10)-ene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127-91-3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204-872-5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w:t>
              <w:br/>
              <w:t>Aquatic Chronic 1, H410</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butanedione</w:t>
            </w:r>
          </w:p>
          <w:p w:rsidR="00827634" w:rsidRPr="0069446B" w:rsidP="009B0F88" w14:textId="33B2CEBF">
            <w:pPr>
              <w:pStyle w:val="SDSTableTextNormal"/>
              <w:rPr>
                <w:noProof w:val="0"/>
              </w:rPr>
            </w:pPr>
            <w:r w:rsidRPr="0069446B">
              <w:rPr>
                <w:noProof/>
              </w:rPr>
              <w:t>sustancia con uno o varios límites nacionales de exposición en el lugar de trabajo (ES); sustancia a la que se aplica un límite comunitario de exposición en el lugar de trabajo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431-03-8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207-069-8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0,0056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(Oral), H302 (ATE=500 mg/kg de peso corporal)</w:t>
              <w:br/>
              <w:t>Acute Tox. 3 (Inhalación), H331</w:t>
              <w:br/>
              <w:t>Skin Irrit. 2, H315</w:t>
              <w:br/>
              <w:t>Eye Dam. 1, H318</w:t>
              <w:br/>
              <w:t>Skin Sens. 1, H317</w:t>
              <w:br/>
              <w:t>STOT RE 2, H373</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delta-3-carene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13466-78-9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236-719-3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(Inhalación), H332</w:t>
              <w:br/>
              <w:t>Skin Irrit. 2, H315</w:t>
              <w:br/>
              <w:t>Skin Sens. 1, H317</w:t>
              <w:br/>
              <w:t>Repr. 2, H361</w:t>
              <w:br/>
              <w:t>Asp. Tox. 1, H304</w:t>
              <w:br/>
              <w:t>Aquatic Acute 1, H400</w:t>
              <w:br/>
              <w:t>Aquatic Chronic 1, H410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Límites de concentración específicos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Identificador de producto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Límites de concentración específicos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pin-2(10)-ene</w:t>
            </w:r>
            <w:r w:rsidRPr="0069446B">
              <w:rPr>
                <w:noProof w:val="0"/>
                <w:color w:val="auto"/>
              </w:rPr>
              <w:t xml:space="preserve"> </w:t>
            </w:r>
            <w:r w:rsidRPr="0069446B" w:rsidR="00FD53E4">
              <w:rPr>
                <w:noProof/>
                <w:color w:val="auto"/>
              </w:rPr>
              <w:t>(127-91-3)</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β-pineno (monoterpeno)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pin-2(3)-ene</w:t>
            </w:r>
            <w:r w:rsidRPr="0069446B">
              <w:rPr>
                <w:noProof w:val="0"/>
                <w:color w:val="auto"/>
              </w:rPr>
              <w:t xml:space="preserve"> </w:t>
            </w:r>
            <w:r w:rsidRPr="0069446B" w:rsidR="00FD53E4">
              <w:rPr>
                <w:noProof/>
                <w:color w:val="auto"/>
              </w:rPr>
              <w:t>(80-56-8)</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3E"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3F"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d-Limoneno</w:t>
            </w:r>
          </w:p>
        </w:tc>
      </w:tr>
      <w:tr w14:paraId="70951C42"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43"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citral</w:t>
            </w:r>
            <w:r w:rsidRPr="0069446B">
              <w:rPr>
                <w:noProof w:val="0"/>
                <w:color w:val="auto"/>
              </w:rPr>
              <w:t xml:space="preserve"> </w:t>
            </w:r>
            <w:r w:rsidRPr="0069446B" w:rsidR="00FD53E4">
              <w:rPr>
                <w:noProof/>
                <w:color w:val="auto"/>
              </w:rPr>
              <w:t>(5392-40-5)</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6"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Citral</w:t>
            </w:r>
          </w:p>
        </w:tc>
      </w:tr>
      <w:tr w14:paraId="70951C47"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 Sen (Sensibilizante), FIV (Fracción inhalable y vapor. La notación FIV señala a aquellos agentes químicos que se pueden presentar en el ambiente de trabajo, tanto en forma de materia particulada como vapor, por lo que las dos fases pueden coexistir, contribuyendo ambas a la exposición. Esta situación se puede dar, principalmente, en los siguientes casos: • Cuando el agente en cuestión tiene un valor “intermedio” de presión de vapor (en estos casos se tiene en cuenta la relación entre su concentración en el aire saturado de vapor y el valor del VLA-ED® y la nota se asigna, generalmente, cuando el cociente entre ambas cantidades se encuentra entre 0.1 y 10). • Por razón de la forma de uso del agente químico (por ejemplo, pulverización). • En los procesos que conlleven cambios importantes de temperatura que puedan afectar al estado físico del agente químico. • En los procesos en los que una fracción significativa del vapor puede disolverse o adsorberse en las partículas de otra sustancia, a semejanza de lo que ocurre con los agentes solubles en agua en ambientes con humedad elevada).</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2"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butanedione</w:t>
            </w:r>
            <w:r w:rsidRPr="0069446B">
              <w:rPr>
                <w:noProof w:val="0"/>
                <w:color w:val="auto"/>
              </w:rPr>
              <w:t xml:space="preserve"> </w:t>
            </w:r>
            <w:r w:rsidRPr="0069446B" w:rsidR="00FD53E4">
              <w:rPr>
                <w:noProof/>
                <w:color w:val="auto"/>
              </w:rPr>
              <w:t>(431-03-8)</w:t>
            </w:r>
          </w:p>
        </w:tc>
      </w:tr>
      <w:tr w14:paraId="09AA0061"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UE - Valor límite de exposición profesional indicativo (IOEL)</w:t>
            </w:r>
          </w:p>
        </w:tc>
      </w:tr>
      <w:tr w14:paraId="70951C4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Diacetyl; Butanedione</w:t>
            </w:r>
          </w:p>
        </w:tc>
      </w:tr>
      <w:tr w14:paraId="70951C4B"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 mg/m³</w:t>
            </w:r>
          </w:p>
        </w:tc>
      </w:tr>
      <w:tr w14:paraId="70951C4C"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4D"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0,36 mg/m³</w:t>
            </w:r>
          </w:p>
        </w:tc>
      </w:tr>
      <w:tr w14:paraId="70951C4E"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4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2017/164</w:t>
            </w:r>
          </w:p>
        </w:tc>
      </w:tr>
      <w:tr w14:paraId="09AA0062"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5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Diacetilo</w:t>
            </w:r>
          </w:p>
        </w:tc>
      </w:tr>
      <w:tr w14:paraId="70951C51"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 mg/m³</w:t>
            </w:r>
          </w:p>
        </w:tc>
      </w:tr>
      <w:tr w14:paraId="70951C52"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53"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0,36 mg/m³</w:t>
            </w:r>
          </w:p>
        </w:tc>
      </w:tr>
      <w:tr w14:paraId="70951C54"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5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VLI (Agente químico para el que la U.E. estableció en su día un valor límite indicativo).</w:t>
            </w:r>
          </w:p>
        </w:tc>
      </w:tr>
      <w:tr w14:paraId="70951C56"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3"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delta-3-carene</w:t>
            </w:r>
            <w:r w:rsidRPr="0069446B">
              <w:rPr>
                <w:noProof w:val="0"/>
                <w:color w:val="auto"/>
              </w:rPr>
              <w:t xml:space="preserve"> </w:t>
            </w:r>
            <w:r w:rsidRPr="0069446B" w:rsidR="00FD53E4">
              <w:rPr>
                <w:noProof/>
                <w:color w:val="auto"/>
              </w:rPr>
              <w:t>(13466-78-9)</w:t>
            </w:r>
          </w:p>
        </w:tc>
      </w:tr>
      <w:tr w14:paraId="09AA0063"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57"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Δ-3-careno (monoterpeno)</w:t>
            </w:r>
          </w:p>
        </w:tc>
      </w:tr>
      <w:tr w14:paraId="70951C58"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59"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5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Leñoso. Vainilla. Alimentario.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de peso corporal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peso corporal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de peso corporal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Inhalación - Rata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pin-2(3)-ene (80-56-8)</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(E)-anethole (4180-23-8)</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1420 – 3070 mg/kg de peso corporal Animal: rat, 95% CL: 2090 -</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4900 mg/kg de peso corporal Animal: rabbit, Guideline: EU Method B.3 (Acute Toxicity (Dermal))</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 5,1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peso corporal Animal: rat</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de peso corporal Animal: mouse, Guideline: OECD Guideline 401 (Acute Oral Toxicity), 95% CL: 1410 - 1770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peso corporal Animal: rabbit, Guideline: EPA OTS 798.1100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male, Guideline: OECD Guideline 423 (Acute Oral toxicity - Acute Toxic Class Method)</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de peso corporal Animal: mouse, Animal sex: 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de peso corporal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(E)-anethole (4180-23-8)</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 300 mg/kg de peso corporal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de peso corporal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4F8C43C8">
            <w:pPr>
              <w:pStyle w:val="SDSTableTextNormal"/>
              <w:rPr>
                <w:noProof w:val="0"/>
              </w:rPr>
            </w:pPr>
            <w:r w:rsidRPr="0069446B">
              <w:rPr>
                <w:noProof/>
              </w:rPr>
              <w:t>≥ 900 mg/kg de peso corporal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(subcrónico, oral, animal/hembra,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de peso corporal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butanedione (431-03-8)</w:t>
            </w:r>
          </w:p>
        </w:tc>
      </w:tr>
      <w:tr w14:paraId="284BEFF8"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3AFF7EC2" w14:textId="08937FBC">
            <w:pPr>
              <w:pStyle w:val="SDSTableTextNormal"/>
              <w:rPr>
                <w:noProof w:val="0"/>
              </w:rPr>
            </w:pPr>
            <w:r w:rsidRPr="0069446B">
              <w:rPr>
                <w:noProof/>
              </w:rPr>
              <w:t>Toxicidad específica en determinados órganos (STOT) – exposición repetida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76AEBB14" w14:textId="52160869">
            <w:pPr>
              <w:pStyle w:val="SDSTableTextNormal"/>
              <w:rPr>
                <w:noProof w:val="0"/>
              </w:rPr>
            </w:pPr>
            <w:r w:rsidRPr="0069446B">
              <w:rPr>
                <w:noProof/>
              </w:rPr>
              <w:t>Puede provocar daños en los órganos tras exposiciones prolongadas o repetidas.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de pain d'épices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Este producto no se considera nocivo para los organismos acuáticos o no que cause efectos adversos a largo plazo en el medio 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 clasificado (A la vista de los datos disponibles, no se cumplen los criterios de clasificación)</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pin-2(3)-ene (80-56-8)</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(E)-anethole (4180-23-8)</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7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 4,25 mg/l Test organisms (species): Daphnia magna</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 2,44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 1,05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de pain d'épices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pin-2(10)-ene (127-91-3)</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(E)-anethole (4180-23-8)</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butanedione (431-03-8)</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delta-3-carene (13466-78-9)</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pin-2(3)-ene ; d-limonene ; (E)-anethole ; citral ; benzyl alcohol ; Eugenol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3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(por inhalación), categoría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(Cutánea)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(cutánea),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(por inhalación), categoría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 o irritación ocular, categoría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para la reproducción, categoría 2</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RE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específica en determinados órganos – Exposiciones repetidas, categoría 2</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muy inflamables.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contacto con la piel.</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lesiones oculares graves.</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en caso de inhalación.</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inhalación.</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 sospecha que puede perjudicar la fertilidad o dañar el feto.</w:t>
            </w:r>
          </w:p>
        </w:tc>
      </w:tr>
      <w:tr w14:paraId="63F052E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H373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daños en los órganos tras exposiciones prolongadas o repetidas.</w:t>
            </w:r>
          </w:p>
        </w:tc>
      </w:tr>
      <w:tr w14:paraId="63F052E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E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13/10/2026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13/10/2026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de pain d'épices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de pain d'épices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(EU) 2020/878</w:t>
          </w:r>
        </w:p>
        <w:p w:rsidR="009C6C12" w:rsidRPr="008F5B08" w:rsidP="00FD6B1D" w14:paraId="512A27C2" w14:textId="1FF61BD5">
          <w:pPr>
            <w:pStyle w:val="SDSTableTextHeader"/>
          </w:pPr>
          <w:r>
            <w:rPr>
              <w:noProof/>
            </w:rPr>
            <w:t>Fecha de emisión: 13/10/2026   Versión: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95BEA449-AE4F-482B-9D7E-58A93E0AC01A}"/>
</file>

<file path=customXml/itemProps3.xml><?xml version="1.0" encoding="utf-8"?>
<ds:datastoreItem xmlns:ds="http://schemas.openxmlformats.org/officeDocument/2006/customXml" ds:itemID="{EF11B215-ABF0-43F7-9CB9-2C74AAD40E70}"/>
</file>

<file path=customXml/itemProps4.xml><?xml version="1.0" encoding="utf-8"?>
<ds:datastoreItem xmlns:ds="http://schemas.openxmlformats.org/officeDocument/2006/customXml" ds:itemID="{5E80279E-F594-4F0F-976A-37FF9CB3440D}"/>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