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SECCIÓN 1</w:t>
      </w:r>
      <w:r w:rsidRPr="007E06A5">
        <w:rPr>
          <w:noProof w:val="0"/>
          <w:color w:val="auto"/>
          <w:lang w:val="fr-BE"/>
        </w:rPr>
        <w:t xml:space="preserve">: </w:t>
      </w:r>
      <w:r w:rsidRPr="007E06A5" w:rsidR="00BD5FB4">
        <w:rPr>
          <w:noProof/>
          <w:color w:val="auto"/>
          <w:lang w:val="fr-BE"/>
        </w:rPr>
        <w:t>Identificación de la sustancia o la mezcla y de la sociedad o la empresa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Identificador de producto</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Forma del producto</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Mezcla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Nombre comercial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Vela de orchidée blanche 10%</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Usos pertinentes identificados de la sustancia o de la mezcla y usos desaconsejados</w:t>
      </w:r>
    </w:p>
    <w:p w:rsidR="00815CDF" w:rsidRPr="0069446B" w:rsidP="00815CDF" w14:paraId="5FFA2E05" w14:textId="08DFA0E8">
      <w:pPr>
        <w:pStyle w:val="SDSTextHeading3"/>
        <w:rPr>
          <w:noProof w:val="0"/>
          <w:color w:val="auto"/>
          <w:lang w:val="en-US"/>
        </w:rPr>
      </w:pPr>
      <w:r w:rsidRPr="0069446B" w:rsidR="00FA7F7F">
        <w:rPr>
          <w:noProof/>
          <w:color w:val="auto"/>
          <w:lang w:val="en-US"/>
        </w:rPr>
        <w:t>Usos pertinentes identificados</w:t>
      </w:r>
    </w:p>
    <w:p w:rsidR="00827634" w:rsidRPr="0069446B" w:rsidP="009E5102" w14:paraId="2D05B3D4" w14:textId="5E45E9EA">
      <w:pPr>
        <w:pStyle w:val="SDSTextNormal"/>
      </w:pPr>
      <w:r w:rsidRPr="0069446B">
        <w:rPr>
          <w:noProof/>
        </w:rPr>
        <w:t>Destinado al público en general</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Categoría de uso principal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Uso por el consumidor</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Uso de la sustancia/mezcla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Vela aromática destinada al gran público.</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Datos del proveedor de la ficha de datos de seguridad</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Teléfono de emergencia</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País/Zona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Empresa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Número de emergencia</w:t>
            </w:r>
          </w:p>
        </w:tc>
      </w:tr>
      <w:tr w14:paraId="42111A89" w14:textId="77777777" w:rsidTr="00AF647F">
        <w:tblPrEx>
          <w:tblW w:w="10488" w:type="dxa"/>
          <w:tblLayout w:type="fixed"/>
          <w:tblLook w:val="04A0"/>
        </w:tblPrEx>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España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Servicio de Información Toxicológica.</w:t>
            </w:r>
          </w:p>
          <w:p w:rsidR="00E7290F" w:rsidRPr="0069446B" w:rsidP="00AF647F" w14:paraId="727B959F" w14:textId="4603B5AE">
            <w:pPr>
              <w:pStyle w:val="SDSTableTextNormal"/>
              <w:rPr>
                <w:noProof w:val="0"/>
              </w:rPr>
            </w:pPr>
            <w:r w:rsidRPr="0069446B">
              <w:rPr>
                <w:noProof/>
              </w:rPr>
              <w:t xml:space="preserve">Instituto Nacional de Toxicología y Ciencias Forenses. Departamento de Madrid. </w:t>
            </w:r>
          </w:p>
          <w:p w:rsidR="00E7290F" w:rsidRPr="0069446B" w:rsidP="00AF647F" w14:paraId="0A27EADA" w14:textId="324C163E">
            <w:pPr>
              <w:pStyle w:val="SDSTableTextNormal"/>
              <w:rPr>
                <w:noProof w:val="0"/>
              </w:rPr>
            </w:pPr>
            <w:r w:rsidRPr="0069446B">
              <w:rPr>
                <w:noProof/>
              </w:rPr>
              <w:t>C/José Echegaray nº4 28232 Las Rozas de Madrid</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+34 91 562 04 20</w:t>
            </w:r>
          </w:p>
          <w:p w:rsidR="00E7290F" w:rsidRPr="0069446B" w:rsidP="00AF647F" w14:paraId="3F356691" w14:textId="7E66BD56">
            <w:pPr>
              <w:pStyle w:val="SDSTableTextNormal"/>
              <w:rPr>
                <w:noProof w:val="0"/>
              </w:rPr>
            </w:pPr>
            <w:r w:rsidRPr="0069446B">
              <w:rPr>
                <w:noProof/>
              </w:rPr>
              <w:t>+34 91 411 26 76 (teléfono solo para médicos)</w:t>
            </w:r>
          </w:p>
          <w:p w:rsidR="00E7290F" w:rsidRPr="0069446B" w:rsidP="00AF647F" w14:paraId="7EACB10C" w14:textId="7D10B582">
            <w:pPr>
              <w:pStyle w:val="SDSTableTextNormal"/>
              <w:rPr>
                <w:noProof w:val="0"/>
              </w:rPr>
            </w:pPr>
            <w:r w:rsidRPr="0069446B">
              <w:rPr>
                <w:noProof/>
              </w:rPr>
              <w:t>(solo emergencias toxicológicas), Información en español (24h/365 días)</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2</w:t>
      </w:r>
      <w:r w:rsidRPr="0069446B">
        <w:rPr>
          <w:noProof w:val="0"/>
          <w:color w:val="auto"/>
          <w:lang w:val="fr-BE"/>
        </w:rPr>
        <w:t xml:space="preserve">: </w:t>
      </w:r>
      <w:r w:rsidRPr="0069446B" w:rsidR="00FA7F7F">
        <w:rPr>
          <w:noProof/>
          <w:color w:val="auto"/>
          <w:lang w:val="fr-BE"/>
        </w:rPr>
        <w:t>Identificación de los peligros</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Clasificación de la sustancia o de la mezcla</w:t>
      </w:r>
    </w:p>
    <w:p w:rsidR="00827634" w:rsidRPr="0069446B" w:rsidP="00EE0840" w14:paraId="5A5BA6A5" w14:textId="56A2E9A0">
      <w:pPr>
        <w:pStyle w:val="SDSTextHeading3"/>
        <w:rPr>
          <w:noProof w:val="0"/>
          <w:color w:val="auto"/>
          <w:lang w:val="fr-BE"/>
        </w:rPr>
      </w:pPr>
      <w:r w:rsidRPr="0069446B">
        <w:rPr>
          <w:noProof/>
          <w:color w:val="auto"/>
          <w:lang w:val="fr-BE"/>
        </w:rPr>
        <w:t>Clasificación según Reglamento (UE)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Peligroso para el medio acuático - Peligro crónico, categoría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Texto completo de las frases H y EUH: ver sección 16</w:t>
      </w:r>
    </w:p>
    <w:p w:rsidR="00827634" w:rsidRPr="0069446B" w:rsidP="00EE0840" w14:paraId="055D903E" w14:textId="69DDCAEA">
      <w:pPr>
        <w:pStyle w:val="SDSTextHeading3"/>
        <w:rPr>
          <w:noProof w:val="0"/>
          <w:color w:val="auto"/>
        </w:rPr>
      </w:pPr>
      <w:r w:rsidRPr="0069446B">
        <w:rPr>
          <w:noProof/>
          <w:color w:val="auto"/>
        </w:rPr>
        <w:t>Efectos adversos fisicoquímicos, para la salud humana y el medio ambiente</w:t>
      </w:r>
    </w:p>
    <w:p w:rsidR="00827634" w:rsidRPr="0069446B" w:rsidP="009E5102" w14:paraId="70925B83" w14:textId="5215662C">
      <w:pPr>
        <w:pStyle w:val="SDSTextNormal"/>
      </w:pPr>
      <w:r>
        <w:rPr>
          <w:noProof/>
        </w:rPr>
        <w:t>Nocivo para los organismos acuáticos, con efectos nocivos duraderos.</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Elementos de la etiqueta</w:t>
      </w:r>
    </w:p>
    <w:p w:rsidR="00827634" w:rsidRPr="0069446B" w:rsidP="00EE0840" w14:paraId="53D9E98C" w14:textId="597293E4">
      <w:pPr>
        <w:pStyle w:val="SDSTextHeading3"/>
        <w:rPr>
          <w:noProof w:val="0"/>
          <w:color w:val="auto"/>
        </w:rPr>
      </w:pPr>
      <w:r w:rsidRPr="0069446B">
        <w:rPr>
          <w:noProof/>
          <w:color w:val="auto"/>
        </w:rPr>
        <w:t>Etiquetado según el Reglamento (CE) n° 1272/2008 [CLP]</w:t>
      </w: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Indicaciones de peligro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H412 - Nocivo para los organismos acuáticos, provoca efectos adversos a largo plazo.</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Consejos de prudencia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En caso de consulta a un médico, tener a disposición el recipiente o la etiqueta.</w:t>
              <w:br/>
              <w:t>P102 - Mantener fuera del alcance de los niños.</w:t>
              <w:br/>
              <w:t>P273 - Evitar la liberación al medio ambiente.</w:t>
              <w:br/>
              <w:t>P501 - Eliminar el contenido y el recipiente en un centro de clasificación, de acuerdo con la normativa local.</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Frases EUH</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Contiene METHYL IONONES, CEDRYL ACETATE, ACETYL CEDRENE, HYDROXYCITRONELLAL, CITRONELLOL, coumarin, GERANIOL, linalyl acetate, NEROL, HELIOTROPINE, linalool. Puede producir una reacción alérgica.</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Otros peligros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No contiene sustancias PBT y/o vPvB ≥ 0,1 % evaluadas de acuerdo con el anexo XIII del reglamento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La mezcla no contiene ni sustancia(s) incluida(s) en la lista establecida con arreglo al artículo 59, apartado 1 del Reglamento REACH por sus propiedades de alteración endocrina, ni sustancia(s) identificada(s) como poseedoras de propiedades de alteración endocrina con arreglo a los criterios establecidos en el Reglamento Delegado (UE) 2017/2100 de la Comisión o en el Reglamento (UE) 2018/605 de la Comisión en una concentración igual o superior al 0,1 %</w:t>
            </w:r>
          </w:p>
        </w:tc>
      </w:tr>
      <w:bookmarkEnd w:id="1"/>
    </w:tbl>
    <w:p w:rsidR="00B072A8" w:rsidRPr="0069446B" w:rsidP="00B072A8" w14:paraId="7788D936" w14:textId="77777777">
      <w:pPr>
        <w:pStyle w:val="SDSTextBlankLine"/>
      </w:pPr>
    </w:p>
    <w:tbl>
      <w:tblPr>
        <w:tblStyle w:val="SDSTableWithBordersWithHeaderRow"/>
        <w:tblW w:w="10495" w:type="dxa"/>
        <w:tblLayout w:type="fixed"/>
        <w:tblLook w:val="04A0"/>
      </w:tblPr>
      <w:tblGrid>
        <w:gridCol w:w="3969"/>
        <w:gridCol w:w="6526"/>
      </w:tblGrid>
      <w:tr w14:paraId="6251E307" w14:textId="77777777" w:rsidTr="0069446B">
        <w:tblPrEx>
          <w:tblW w:w="10495" w:type="dxa"/>
          <w:tblLayout w:type="fixed"/>
          <w:tblLook w:val="04A0"/>
        </w:tblPrEx>
        <w:trPr>
          <w:trHeight w:val="20"/>
          <w:tblHeader/>
        </w:trPr>
        <w:tc>
          <w:tcPr>
            <w:tcW w:w="10495"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47BAF" w:rsidRPr="0069446B" w:rsidP="006A5033" w14:paraId="5BC2FC32" w14:textId="6E368FEE">
            <w:pPr>
              <w:pStyle w:val="SDSTableTextHeading1"/>
              <w:rPr>
                <w:noProof w:val="0"/>
                <w:color w:val="auto"/>
              </w:rPr>
            </w:pPr>
            <w:r w:rsidRPr="0069446B" w:rsidR="00FA7F7F">
              <w:rPr>
                <w:noProof/>
                <w:color w:val="auto"/>
              </w:rPr>
              <w:t>Componente</w:t>
            </w:r>
          </w:p>
        </w:tc>
      </w:tr>
      <w:tr w14:paraId="66B1B816" w14:textId="77777777" w:rsidTr="0069446B">
        <w:tblPrEx>
          <w:tblW w:w="10495"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EE2C69" w14:paraId="5409109E" w14:textId="3B1ED55A">
            <w:pPr>
              <w:pStyle w:val="SDSTableTextNormal"/>
              <w:rPr>
                <w:noProof w:val="0"/>
              </w:rPr>
            </w:pPr>
            <w:r w:rsidRPr="0069446B">
              <w:rPr>
                <w:noProof/>
              </w:rPr>
              <w:t>Sustancia(s) no incluida(s) en la lista establecida con arreglo al artículo 59, apartado 1, de REACH por sus propiedades de alteración endocrina, o por no tener propiedades de alteración endocrina con arreglo a los criterios establecidos en el Reglamento Delegado (UE) 2017/2100 de la Comisión o en el Reglamento (UE) 2018/605 de la Comisión.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573B2F" w:rsidRPr="0069446B" w:rsidP="00EE2C69" w14:paraId="384C6B00" w14:textId="2079666F">
            <w:pPr>
              <w:pStyle w:val="SDSTableTextNormal"/>
              <w:rPr>
                <w:noProof w:val="0"/>
              </w:rPr>
            </w:pPr>
            <w:r w:rsidRPr="0069446B" w:rsidR="00FA7F7F">
              <w:rPr>
                <w:noProof/>
              </w:rPr>
              <w:t>geraniol (106-24-1)</w:t>
            </w:r>
          </w:p>
        </w:tc>
      </w:tr>
    </w:tbl>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3</w:t>
      </w:r>
      <w:r w:rsidRPr="0069446B">
        <w:rPr>
          <w:noProof w:val="0"/>
          <w:color w:val="auto"/>
          <w:lang w:val="en-GB"/>
        </w:rPr>
        <w:t xml:space="preserve">: </w:t>
      </w:r>
      <w:r w:rsidRPr="0069446B" w:rsidR="00FA7F7F">
        <w:rPr>
          <w:noProof/>
          <w:color w:val="auto"/>
          <w:lang w:val="en-GB"/>
        </w:rPr>
        <w:t>Composición/información sobre los componentes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Mezclas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Nombre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Identificador de producto</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Clasificación según Reglamento (UE)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A55330">
              <w:rPr>
                <w:noProof/>
              </w:rPr>
              <w:t>[3R-(3α,3aβ,6α,7β,8aα)]-octahydro-3,6,8,8-tetramethyl-1H-3a,7-methanoazulen-5-yl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77-54-3</w:t>
            </w:r>
          </w:p>
          <w:p w:rsidR="00827634" w:rsidRPr="0069446B" w:rsidP="009B0F88" w14:paraId="3F1A30C5"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201-036-1</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0,933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Sens. 1B, H317</w:t>
              <w:br/>
              <w:t>Aquatic Acute 1, H400</w:t>
              <w:br/>
              <w:t>Aquatic Chronic 1, H410</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acetyl cedrene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32388-55-9</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251-020-3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0,667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1, H410</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115-95-7</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204-116-4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0,633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coumarin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91-64-5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202-086-7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0,467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(ATE=500 mg/kg de peso corporal)</w:t>
              <w:br/>
              <w:t>Skin Sens. 1B, H317</w:t>
              <w:br/>
              <w:t>Aquatic Chronic 3, H412</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alpha-iso-methylionone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127-51-5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204-846-3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0,351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2, H411</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7-hydroxycitronellal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107-75-5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203-518-7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0,267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Eye Irrit. 2, H319</w:t>
              <w:br/>
              <w:t>Skin Sens. 1B, H317</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citronellol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106-22-9</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203-375-0</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0,207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5"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3-(5,5,6-trimethylbicyclo[2.2.1]hept-2-yl)cyclohexan-1-ol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3407-42-9</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209-667-4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0,167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Eye Irrit. 2, H319</w:t>
              <w:br/>
              <w:t>Repr. 2, H361</w:t>
              <w:br/>
              <w:t>Aquatic Acute 1, H400</w:t>
              <w:br/>
              <w:t>Aquatic Chronic 2, H411</w:t>
            </w:r>
          </w:p>
        </w:tc>
      </w:tr>
      <w:tr w14:paraId="73AD14F6"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isocamphenyl cyclohexanol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66068-84-6</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266-100-3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0,167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Aquatic Acute 1, H400</w:t>
              <w:br/>
              <w:t>Aquatic Chronic 2, H411</w:t>
            </w:r>
          </w:p>
        </w:tc>
      </w:tr>
      <w:tr w14:paraId="73AD14F7"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geraniol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106-24-1</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203-377-1</w:t>
            </w:r>
          </w:p>
          <w:p w:rsidR="00827634" w:rsidRPr="0069446B" w:rsidP="009B0F88" w14:paraId="6ACDC690"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603-241-00-5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0,143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Dam. 1, H318</w:t>
              <w:br/>
              <w:t>Skin Sens. 1, H317</w:t>
            </w:r>
          </w:p>
        </w:tc>
      </w:tr>
      <w:tr w14:paraId="73AD14F8"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78-70-6</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201-134-4</w:t>
            </w:r>
          </w:p>
          <w:p w:rsidR="00827634" w:rsidRPr="0069446B" w:rsidP="009B0F88"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0,134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9"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piperonal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120-57-0</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204-409-7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0,133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Repr. 2, H361</w:t>
            </w:r>
          </w:p>
        </w:tc>
      </w:tr>
      <w:tr w14:paraId="73AD14FA"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nerol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106-25-2</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203-378-7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0,129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B"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2,6-di-tert-butyl-p-cresol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128-37-0</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412-300-2</w:t>
            </w:r>
          </w:p>
          <w:p w:rsidR="00827634" w:rsidRPr="0069446B" w:rsidP="009B0F88"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603-154-00-2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Aquatic Acute 1, H400</w:t>
              <w:br/>
              <w:t>Aquatic Chronic 1, H410</w:t>
            </w:r>
          </w:p>
        </w:tc>
      </w:tr>
      <w:tr w14:paraId="73AD14FC"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[1S-(1α,3aβ,4α,8aβ)]-decahydro-4,8,8-trimethyl-9-methylene-1,4-methanoazulene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475-20-7</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207-491-2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0,047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Asp. Tox. 1, H304</w:t>
              <w:br/>
              <w:t>Aquatic Acute 1, H400 (M=10)</w:t>
              <w:br/>
              <w:t>Aquatic Chronic 1, H410</w:t>
            </w:r>
          </w:p>
        </w:tc>
      </w:tr>
      <w:tr w14:paraId="73AD14FD"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citral</w:t>
            </w:r>
          </w:p>
          <w:p w:rsidR="00827634" w:rsidRPr="0069446B" w:rsidP="009B0F88" w14:paraId="147D3D5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5392-40-5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226-394-6</w:t>
            </w:r>
          </w:p>
          <w:p w:rsidR="00827634" w:rsidRPr="0069446B" w:rsidP="009B0F88"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605-019-00-3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 H317</w:t>
            </w:r>
          </w:p>
        </w:tc>
      </w:tr>
      <w:tr w14:paraId="73AD14F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d-limonene</w:t>
            </w:r>
          </w:p>
          <w:p w:rsidR="00827634" w:rsidRPr="0069446B" w:rsidP="009B0F8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5989-27-5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227-813-5</w:t>
            </w:r>
          </w:p>
          <w:p w:rsidR="00827634" w:rsidRPr="0069446B" w:rsidP="009B0F88"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bl>
    <w:p w:rsidR="00827634" w:rsidRPr="0069446B" w:rsidP="009E5102" w14:paraId="27338739" w14:textId="72136CC3">
      <w:pPr>
        <w:pStyle w:val="SDSTextNormal"/>
      </w:pPr>
      <w:r>
        <w:rPr>
          <w:noProof/>
        </w:rPr>
        <w:t>Texto completo de las frases H y EUH: ver sección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4</w:t>
      </w:r>
      <w:r w:rsidRPr="0069446B">
        <w:rPr>
          <w:noProof w:val="0"/>
          <w:color w:val="auto"/>
          <w:lang w:val="en-GB"/>
        </w:rPr>
        <w:t xml:space="preserve">: </w:t>
      </w:r>
      <w:r w:rsidRPr="0069446B" w:rsidR="00FA7F7F">
        <w:rPr>
          <w:noProof/>
          <w:color w:val="auto"/>
          <w:lang w:val="en-GB"/>
        </w:rPr>
        <w:t>Primeros auxilios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Descripción de los primeros auxilios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Medidas de primeros auxilios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En caso de malestar, consultar a un médico.</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Pr>
                <w:noProof/>
              </w:rPr>
              <w:t>Medidas de primeros auxilios en caso de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Transportar a la persona al aire libre y mantenerla en una posición que le facilite la respiración.</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Medidas de primeros auxilios en caso de contacto con la piel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Lavar la piel con abundante agua.</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Medidas de primeros auxilios en caso de contacto con los ojos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Aclarar los ojos con agua como medida de precaución.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Pr>
                <w:noProof/>
              </w:rPr>
              <w:t>Medidas de primeros auxilios en caso de ingestión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Llame a un centro de toxicología o a un médico si se siente mal.</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Autoprotección del primer interviniente</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El personal de primeros auxilios debe priorizar su autoprotección utilizando los equipos de protección individual (EPI) recomendados (véase la sección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Principales síntomas y efectos, agudos y retardados</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Síntomas/efectos después de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Ninguno en condiciones normales. El polvo de este producto puede provocar irritación respiratoria tras una exposición excesiva por inhalación.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Síntomas/efectos después de contacto con la piel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Pr>
                <w:noProof/>
              </w:rPr>
              <w:t>Ninguno en condiciones normales. El polvo puede provocar una irritación en los pliegues de la piel o por contacto si se lleva ropa ajustada.</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Síntomas/efectos después del contacto con el ojo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Ninguno en condiciones normales. El polvo de este producto puede provocar irritación ocular.</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Síntomas/efectos después de ingestión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Ninguno en condiciones normales.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Indicación de toda atención médica y de los tratamientos especiales que deban dispensarse inmediatamente</w:t>
      </w:r>
    </w:p>
    <w:p w:rsidR="00827634" w:rsidRPr="0069446B" w:rsidP="009E5102" w14:paraId="07545EAA" w14:textId="35C25296">
      <w:pPr>
        <w:pStyle w:val="SDSTextNormal"/>
      </w:pPr>
      <w:r w:rsidRPr="0069446B">
        <w:rPr>
          <w:noProof/>
        </w:rPr>
        <w:t>Tratamiento sintomático.</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5</w:t>
      </w:r>
      <w:r w:rsidRPr="0069446B">
        <w:rPr>
          <w:noProof w:val="0"/>
          <w:color w:val="auto"/>
          <w:lang w:val="en-GB"/>
        </w:rPr>
        <w:t xml:space="preserve">: </w:t>
      </w:r>
      <w:r w:rsidRPr="0069446B" w:rsidR="00FA7F7F">
        <w:rPr>
          <w:noProof/>
          <w:color w:val="auto"/>
          <w:lang w:val="en-GB"/>
        </w:rPr>
        <w:t>Medidas de lucha contra incendios</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Medios de extinción</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Medios de extinción apropiados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Agua pulverizada. Polvo seco. Espuma.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Medios de extinción no apropiados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No utilizar flujos de agua potentes.</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Peligros específicos derivados de la sustancia o la mezcla</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Peligro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Sin riesgos de incendio.</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Peligro de explosión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Sin peligro directo de explosión.</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Productos de descomposición peligrosos en caso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Posible emisión de humos tóxicos.</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BD5FB4">
        <w:rPr>
          <w:noProof/>
          <w:color w:val="auto"/>
          <w:lang w:val="en-GB"/>
        </w:rPr>
        <w:t>Recomendaciones para el personal de lucha contra incendios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Instrucciones para extinción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Extinguir el incendio desde una distancia segura y un lugar protegido. No entrar en la zona de fuego sin el equipo de protección adecuado, incluida la protección respiratoria.</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Pr>
                <w:noProof/>
              </w:rPr>
              <w:t>Protección durante la extinción de incendios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No intervenir sin equipo de protección adecuado. Aparato autónomo y aislante de protección respiratoria. Protección completa del cuerpo.</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6</w:t>
      </w:r>
      <w:r w:rsidRPr="0069446B">
        <w:rPr>
          <w:noProof w:val="0"/>
          <w:color w:val="auto"/>
          <w:lang w:val="en-GB"/>
        </w:rPr>
        <w:t xml:space="preserve">: </w:t>
      </w:r>
      <w:r w:rsidRPr="0069446B">
        <w:rPr>
          <w:noProof/>
          <w:color w:val="auto"/>
          <w:lang w:val="en-GB"/>
        </w:rPr>
        <w:t>Medidas en caso de vertido accidental</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Precauciones personales, equipo de protección y procedimientos de emergencia</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Medidas generales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Avisar a las autoridades si el producto llega a los desagües o las conducciones públicas de agua. Absorber el vertido para que no dañe otros materiales.</w:t>
            </w:r>
          </w:p>
        </w:tc>
      </w:tr>
    </w:tbl>
    <w:p w:rsidR="001479F7" w:rsidRPr="0069446B" w:rsidP="000649B9" w14:paraId="07EC380A" w14:textId="787FC9C8">
      <w:pPr>
        <w:pStyle w:val="SDSTextHeading3"/>
        <w:outlineLvl w:val="1"/>
        <w:rPr>
          <w:noProof w:val="0"/>
          <w:color w:val="auto"/>
          <w:lang w:val="en-US"/>
        </w:rPr>
      </w:pPr>
      <w:r w:rsidRPr="0069446B">
        <w:rPr>
          <w:noProof/>
          <w:color w:val="auto"/>
          <w:lang w:val="en-US"/>
        </w:rPr>
        <w:t>Para el personal que no forma parte de los servicios de emergencia</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Equipo de protección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Llevar el equipo de protección individual recomendado.</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Procedimientos de emergencia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sidR="00FA7F7F">
              <w:rPr>
                <w:noProof/>
                <w:lang w:val="fr-BE"/>
              </w:rPr>
              <w:t>Ventilar la zona de derrame.</w:t>
            </w:r>
          </w:p>
        </w:tc>
      </w:tr>
    </w:tbl>
    <w:p w:rsidR="00B077C8" w:rsidRPr="0069446B" w:rsidP="00B077C8" w14:paraId="52593E1F" w14:textId="1932D57C">
      <w:pPr>
        <w:pStyle w:val="SDSTextHeading3"/>
        <w:rPr>
          <w:noProof w:val="0"/>
          <w:color w:val="auto"/>
        </w:rPr>
      </w:pPr>
      <w:r w:rsidRPr="0069446B" w:rsidR="00FA7F7F">
        <w:rPr>
          <w:noProof/>
          <w:color w:val="auto"/>
        </w:rPr>
        <w:t>Para el personal de emergencia</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Equipo de protección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No intervenir sin equipo de protección adecuado. Para más información, ver sección 8 : "Control de la exposición-protección individual".</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Procedimientos de emergencia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Evacuar el personal no necesario.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Precauciones relativas al medio ambiente</w:t>
      </w:r>
    </w:p>
    <w:p w:rsidR="00827634" w:rsidRPr="0069446B" w:rsidP="009E5102" w14:paraId="2E6F858E" w14:textId="1933F2AA">
      <w:pPr>
        <w:pStyle w:val="SDSTextNormal"/>
      </w:pPr>
      <w:r w:rsidRPr="0069446B">
        <w:rPr>
          <w:noProof/>
        </w:rPr>
        <w:t>Evitar su liberación al medio ambiente.</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Métodos y material de contención y de limpieza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Para retención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Usando una pala limpia, coloque el material en un recipiente seco y cúbralo sin comprimirlo.</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Procedimientos de limpieza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Recoger mecánicamente el producto.</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Otros datos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Eliminar los materiales o residuos sólidos en un centro autorizado.</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Referencia a otras secciones</w:t>
      </w:r>
    </w:p>
    <w:p w:rsidR="00827634" w:rsidRPr="0069446B" w:rsidP="009E5102" w14:paraId="56E19A8E" w14:textId="133794D7">
      <w:pPr>
        <w:pStyle w:val="SDSTextNormal"/>
        <w:rPr>
          <w:lang w:val="fr-BE"/>
        </w:rPr>
      </w:pPr>
      <w:r w:rsidRPr="0069446B" w:rsidR="00FA7F7F">
        <w:rPr>
          <w:noProof/>
          <w:lang w:val="fr-BE"/>
        </w:rPr>
        <w:t>Para más información, ver sección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7</w:t>
      </w:r>
      <w:r w:rsidRPr="0069446B">
        <w:rPr>
          <w:noProof w:val="0"/>
          <w:color w:val="auto"/>
          <w:lang w:val="en-GB"/>
        </w:rPr>
        <w:t xml:space="preserve">: </w:t>
      </w:r>
      <w:r w:rsidRPr="0069446B" w:rsidR="00FA7F7F">
        <w:rPr>
          <w:noProof/>
          <w:color w:val="auto"/>
          <w:lang w:val="en-GB"/>
        </w:rPr>
        <w:t>Manipulación y almacenamiento</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Precauciones para una manipulación segura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Peligros adicionales durante el tratamiento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 se considera peligroso en condiciones normales de utilización.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Precauciones para una manipulación segura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El puesto de trabajo ha de estar bien ventilado. Llevar un equipo de protección individual.</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Medidas de higiene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No comer, beber ni fumar durante su utilización. Lavarse las manos después de cualquier manipulación.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Condiciones de almacenamiento seguro, incluidas posibles incompatibilidades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Medidas técnicas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Consérvese en lugar fresco, bien ventilado y lejos del calor.</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Condiciones de almacenamiento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Conservar en un lugar fresco. Proteger de la luz del sol.</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Material de embalaje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Conservar siempre el producto en un envase del mismo tipo que el envase de origen.</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Usos específicos finales</w:t>
      </w:r>
    </w:p>
    <w:p w:rsidR="00827634" w:rsidRPr="0069446B" w:rsidP="009E5102" w14:paraId="75AE9ADE" w14:textId="77777777">
      <w:pPr>
        <w:pStyle w:val="SDSTextNormal"/>
        <w:bidi w:val="0"/>
        <w:rPr>
          <w:rtl w:val="0"/>
        </w:rPr>
      </w:pPr>
      <w:r w:rsidRPr="0069446B">
        <w:rPr>
          <w:rtl w:val="0"/>
        </w:rPr>
        <w:t>No se dispone de información adicional</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8</w:t>
      </w:r>
      <w:r w:rsidRPr="0069446B">
        <w:rPr>
          <w:noProof w:val="0"/>
          <w:color w:val="auto"/>
          <w:lang w:val="en-GB"/>
        </w:rPr>
        <w:t xml:space="preserve">: </w:t>
      </w:r>
      <w:r w:rsidRPr="0069446B" w:rsidR="00FA7F7F">
        <w:rPr>
          <w:noProof/>
          <w:color w:val="auto"/>
          <w:lang w:val="en-GB"/>
        </w:rPr>
        <w:t>Controles de exposición/protección individual</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Parámetros de control</w:t>
      </w:r>
    </w:p>
    <w:p w:rsidR="00B077C8" w:rsidRPr="0069446B" w:rsidP="00B077C8" w14:paraId="76C830A6" w14:textId="7C05BC4C">
      <w:pPr>
        <w:pStyle w:val="SDSTextHeading3"/>
        <w:rPr>
          <w:noProof w:val="0"/>
          <w:color w:val="auto"/>
          <w:lang w:val="en-US"/>
        </w:rPr>
      </w:pPr>
      <w:r w:rsidRPr="0069446B">
        <w:rPr>
          <w:noProof/>
          <w:color w:val="auto"/>
          <w:lang w:val="en-US"/>
        </w:rPr>
        <w:t>Valores límite nacionales de exposición profesional y biológicos</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citral</w:t>
            </w:r>
            <w:r w:rsidRPr="0069446B">
              <w:rPr>
                <w:noProof w:val="0"/>
                <w:color w:val="auto"/>
              </w:rPr>
              <w:t xml:space="preserve"> </w:t>
            </w:r>
            <w:r w:rsidRPr="0069446B" w:rsidR="00FD53E4">
              <w:rPr>
                <w:noProof/>
                <w:color w:val="auto"/>
              </w:rPr>
              <w:t>(5392-40-5)</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España - Valores límite de exposición profesional</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Citral</w:t>
            </w:r>
          </w:p>
        </w:tc>
      </w:tr>
      <w:tr w14:paraId="70951C3A"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 ppm</w:t>
            </w:r>
          </w:p>
        </w:tc>
      </w:tr>
      <w:tr w14:paraId="70951C3B"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Comentarios</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Vía dérmica (Indica que, en las exposiciones a esta sustancia, la aportación por la vía cutánea puede resultar significativa para el contenido corporal total si no se adoptan medidas para prevenir la absorción. En estas situaciones, es aconsejable la utilización del control biológico para poder cuantificar la cantidad global absorbida del contaminante), Sen (Sensibilizante), FIV (Fracción inhalable y vapor. La notación FIV señala a aquellos agentes químicos que se pueden presentar en el ambiente de trabajo, tanto en forma de materia particulada como vapor, por lo que las dos fases pueden coexistir, contribuyendo ambas a la exposición. Esta situación se puede dar, principalmente, en los siguientes casos: • Cuando el agente en cuestión tiene un valor “intermedio” de presión de vapor (en estos casos se tiene en cuenta la relación entre su concentración en el aire saturado de vapor y el valor del VLA-ED® y la nota se asigna, generalmente, cuando el cociente entre ambas cantidades se encuentra entre 0.1 y 10). • Por razón de la forma de uso del agente químico (por ejemplo, pulverización). • En los procesos que conlleven cambios importantes de temperatura que puedan afectar al estado físico del agente químico. • En los procesos en los que una fracción significativa del vapor puede disolverse o adsorberse en las partículas de otra sustancia, a semejanza de lo que ocurre con los agentes solubles en agua en ambientes con humedad elevada).</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DF"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d-limonene</w:t>
            </w:r>
            <w:r w:rsidRPr="0069446B">
              <w:rPr>
                <w:noProof w:val="0"/>
                <w:color w:val="auto"/>
              </w:rPr>
              <w:t xml:space="preserve"> </w:t>
            </w:r>
            <w:r w:rsidRPr="0069446B" w:rsidR="00FD53E4">
              <w:rPr>
                <w:noProof/>
                <w:color w:val="auto"/>
              </w:rPr>
              <w:t>(5989-27-5)</w:t>
            </w:r>
          </w:p>
        </w:tc>
      </w:tr>
      <w:tr w14:paraId="09AA005E"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España - Valores límite de exposición profesional</w:t>
            </w:r>
          </w:p>
        </w:tc>
      </w:tr>
      <w:tr w14:paraId="70951C3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d-Limoneno</w:t>
            </w:r>
          </w:p>
        </w:tc>
      </w:tr>
      <w:tr w14:paraId="70951C3E"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168 mg/m³</w:t>
            </w:r>
          </w:p>
        </w:tc>
      </w:tr>
      <w:tr w14:paraId="70951C3F"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30 ppm</w:t>
            </w:r>
          </w:p>
        </w:tc>
      </w:tr>
      <w:tr w14:paraId="70951C40"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Comentarios</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Sen (Sensibilizante), vía dérmica (Indica que, en las exposiciones a esta sustancia, la aportación por la vía cutánea puede resultar significativa para el contenido corporal total si no se adoptan medidas para prevenir la absorción. En estas situaciones, es aconsejable la utilización del control biológico para poder cuantificar la cantidad global absorbida del contaminante).</w:t>
            </w:r>
          </w:p>
        </w:tc>
      </w:tr>
      <w:tr w14:paraId="70951C41"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bookmarkStart w:id="2" w:name="_Hlk205902293"/>
    <w:bookmarkEnd w:id="2"/>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Controles de la exposición</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Controles técnicos apropiados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Controles técnicos apropiados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El puesto de trabajo ha de estar bien ventilado.</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Controles de exposición medioambiental</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Controles de exposición medioambiental</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Evitar su liberación al medio ambiente.</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9</w:t>
      </w:r>
      <w:r w:rsidRPr="0069446B">
        <w:rPr>
          <w:noProof w:val="0"/>
          <w:color w:val="auto"/>
          <w:lang w:val="en-GB"/>
        </w:rPr>
        <w:t xml:space="preserve">: </w:t>
      </w:r>
      <w:r w:rsidRPr="0069446B" w:rsidR="00FA7F7F">
        <w:rPr>
          <w:noProof/>
          <w:color w:val="auto"/>
          <w:lang w:val="en-GB"/>
        </w:rPr>
        <w:t>Propiedades físicas y químicas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Información sobre propiedades físicas y químicas básicas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Estado físico</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Sólido</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 determinado.</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Olor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En polvo. Vainilla. Floral.</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Umbral olfativo</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 disponible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Punto de fusión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 disponible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Punto de congelación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 aplicable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Punto de ebullición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 disponible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Inflamabilidad</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 inflamable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Límite inferior de explosividad</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 aplicable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Límite superior de explosividad</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 aplicable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Punto de inflamación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de auto-inflamación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 aplicable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de descomposición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 disponible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 disponible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Solución 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 disponible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Viscosidad, cinemática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 aplicable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Solubilidad</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 disponible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Coeficiente de partición n-octanol/agua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 disponible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Presión de vapor</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 disponible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Presión de vapor a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 disponible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Densidad</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 disponible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Densidad relativa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 disponible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Densidad relativa de vapor a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 aplicable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Tamaño de las partículas</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 disponible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Otros datos</w:t>
      </w:r>
    </w:p>
    <w:p w:rsidR="00C275B9" w:rsidRPr="0069446B" w:rsidP="009E5102" w14:paraId="63CB284D" w14:textId="738FCF74">
      <w:pPr>
        <w:pStyle w:val="SDSTextNormal"/>
        <w:bidi w:val="0"/>
        <w:rPr>
          <w:rtl w:val="0"/>
        </w:rPr>
      </w:pPr>
      <w:r w:rsidRPr="0069446B">
        <w:rPr>
          <w:rtl w:val="0"/>
        </w:rPr>
        <w:t>No se dispone de información adicional</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10</w:t>
      </w:r>
      <w:r w:rsidRPr="0069446B">
        <w:rPr>
          <w:noProof w:val="0"/>
          <w:color w:val="auto"/>
          <w:lang w:val="en-US"/>
        </w:rPr>
        <w:t xml:space="preserve">: </w:t>
      </w:r>
      <w:r w:rsidRPr="0069446B" w:rsidR="00FA7F7F">
        <w:rPr>
          <w:noProof/>
          <w:color w:val="auto"/>
          <w:lang w:val="en-US"/>
        </w:rPr>
        <w:t>Estabilidad y reactividad</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Reactividad</w:t>
      </w:r>
    </w:p>
    <w:p w:rsidR="00827634" w:rsidRPr="0069446B" w:rsidP="009E5102" w14:paraId="0672D3C3" w14:textId="08480244">
      <w:pPr>
        <w:pStyle w:val="SDSTextNormal"/>
      </w:pPr>
      <w:r>
        <w:rPr>
          <w:noProof/>
        </w:rPr>
        <w:t>El producto no es reactivo en las condiciones normales de uso, almacenamiento y transporte.</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Estabilidad química</w:t>
      </w:r>
    </w:p>
    <w:p w:rsidR="00827634" w:rsidRPr="0069446B" w:rsidP="009E5102" w14:paraId="540DB174" w14:textId="3504FAE2">
      <w:pPr>
        <w:pStyle w:val="SDSTextNormal"/>
      </w:pPr>
      <w:r w:rsidRPr="0069446B">
        <w:rPr>
          <w:noProof/>
        </w:rPr>
        <w:t>Estable en condiciones normales.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Posibilidad de reacciones peligrosas</w:t>
      </w:r>
    </w:p>
    <w:p w:rsidR="00827634" w:rsidRPr="0069446B" w:rsidP="009E5102" w14:paraId="4060C206" w14:textId="308E8296">
      <w:pPr>
        <w:pStyle w:val="SDSTextNormal"/>
      </w:pPr>
      <w:r>
        <w:rPr>
          <w:noProof/>
        </w:rPr>
        <w:t>No se producen reacciones peligrosas conocidas en condiciones normales de utilización.</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Condiciones que deben evitarse</w:t>
      </w:r>
    </w:p>
    <w:p w:rsidR="00827634" w:rsidRPr="0069446B" w:rsidP="009E5102" w14:paraId="268A901C" w14:textId="403B2C18">
      <w:pPr>
        <w:pStyle w:val="SDSTextNormal"/>
      </w:pPr>
      <w:r>
        <w:rPr>
          <w:noProof/>
        </w:rPr>
        <w:t>Ninguno bajo las condiciones de almacenamiento y manejo recomendadas (ver sección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Materiales incompatibles</w:t>
      </w:r>
    </w:p>
    <w:p w:rsidR="00827634" w:rsidRPr="0069446B" w:rsidP="009E5102" w14:paraId="6323A62A" w14:textId="77777777">
      <w:pPr>
        <w:pStyle w:val="SDSTextNormal"/>
        <w:bidi w:val="0"/>
        <w:rPr>
          <w:rtl w:val="0"/>
        </w:rPr>
      </w:pPr>
      <w:r w:rsidRPr="0069446B">
        <w:rPr>
          <w:rtl w:val="0"/>
        </w:rPr>
        <w:t>No se dispone de información adicional</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Productos de descomposición peligrosos</w:t>
      </w:r>
    </w:p>
    <w:p w:rsidR="00827634" w:rsidRPr="0069446B" w:rsidP="009E5102" w14:paraId="64338A53" w14:textId="43558438">
      <w:pPr>
        <w:pStyle w:val="SDSTextNormal"/>
      </w:pPr>
      <w:r>
        <w:rPr>
          <w:noProof/>
        </w:rPr>
        <w:t>Bajo condiciones normales de almacenamiento y uso, no se deberían producir productos de descomposición peligrosos.</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11</w:t>
      </w:r>
      <w:r w:rsidRPr="0069446B">
        <w:rPr>
          <w:noProof w:val="0"/>
          <w:color w:val="auto"/>
          <w:lang w:val="en-US"/>
        </w:rPr>
        <w:t xml:space="preserve">: </w:t>
      </w:r>
      <w:r w:rsidRPr="0069446B" w:rsidR="00FA7F7F">
        <w:rPr>
          <w:noProof/>
          <w:color w:val="auto"/>
          <w:lang w:val="en-US"/>
        </w:rPr>
        <w:t>Información toxicológica</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Información sobre las clases de peligro definidas en el Reglamento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Toxicidad aguda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 clasificado (A la vista de los datos disponibles, no se cumplen los criterios de clasificación)</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Toxicidad aguda (cutánea)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 clasificado (A la vista de los datos disponibles, no se cumplen los criterios de clasificación)</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Toxicidad aguda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 clasificado (A la vista de los datos disponibles, no se cumplen los criterios de clasificación)</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[1S-(1α,3aβ,4α,8aβ)]-decahydro-4,8,8-trimethyl-9-methylene-1,4-methanoazulene (475-20-7)</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5000 mg/kg de peso corporal Animal: rat, Guideline: OECD Guideline 401 (Acute Oral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2,6-di-tert-butyl-p-cresol (128-37-0)</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cutánea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de peso corporal Animal: rat,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alpha-iso-methylionone (127-51-5)</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de peso corporal Animal: rat, Animal sex: female, Guideline: OECD Guideline 423 (Acute Oral toxicity - Acute Toxic Class Method)</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cutánea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de peso corporal Animal: rat,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[3R-(3α,3aβ,6α,7β,8aα)]-octahydro-3,6,8,8-tetramethyl-1H-3a,7-methanoazulen-5-yl acetate (77-54-3)</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44750 mg/kg de peso corporal Animal: rat, Guideline: OECD Guideline 401 (Acute Oral Toxicity), 95% CL: 33650 - 59520</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acetyl cedrene (32388-55-9)</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cutáneo conejo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5000 mg/kg de peso corporal Animal: rabbit,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7-hydroxycitronellal (107-75-5)</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6400 mg/kg de peso corporal Animal: rat, Guideline: OECD Guideline 401 (Acute Oral Toxicity)</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cutáneo conejo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de peso corporal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0"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coumarin (91-64-5)</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293 mg/kg de peso corporal Animal: rat, Guideline: other:</w:t>
            </w:r>
          </w:p>
        </w:tc>
      </w:tr>
      <w:tr w14:paraId="14A1065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cutánea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293 mg/kg de peso corporal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geraniol (106-24-1)</w:t>
            </w:r>
          </w:p>
        </w:tc>
      </w:tr>
      <w:tr w14:paraId="02D6B5AE"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3600 mg/kg de peso corporal Animal: rat, 95% CL: 2840 - 4570</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cutáneo conejo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5000 mg/kg de peso corporal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2"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linalyl acetate (115-95-7)</w:t>
            </w:r>
          </w:p>
        </w:tc>
      </w:tr>
      <w:tr w14:paraId="02D6B5AF"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9000 mg/kg de peso corporal Animal: rat</w:t>
            </w:r>
          </w:p>
        </w:tc>
      </w:tr>
      <w:tr w14:paraId="6700D31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cutáneo conejo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5000 mg/kg de peso corporal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3"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nerol (106-25-2)</w:t>
            </w:r>
          </w:p>
        </w:tc>
      </w:tr>
      <w:tr w14:paraId="02D6B5B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4500 mg/kg de peso corporal Animal: rat, Animal sex: male, Guideline: OECD Guideline 401 (Acute Oral Toxicity), 95% CL: 3400 - 5600</w:t>
            </w:r>
          </w:p>
        </w:tc>
      </w:tr>
      <w:tr w14:paraId="6700D317"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cutáneo conejo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5000 mg/kg de peso corporal Animal: rabbit,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4"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piperonal (120-57-0)</w:t>
            </w:r>
          </w:p>
        </w:tc>
      </w:tr>
      <w:tr w14:paraId="02D6B5B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2700 mg/kg de peso corporal Animal: rat, Guideline: OECD Guideline 401 (Acute Oral Toxicity), 95% CL: 2350 - 3100</w:t>
            </w:r>
          </w:p>
        </w:tc>
      </w:tr>
      <w:tr w14:paraId="14A1065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cutánea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5000 mg/kg de peso corporal Animal: rat, Guideline: other:,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5"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citral (5392-40-5)</w:t>
            </w:r>
          </w:p>
        </w:tc>
      </w:tr>
      <w:tr w14:paraId="02D6B5B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 6800 mg/kg de peso corporal Animal: rat</w:t>
            </w:r>
          </w:p>
        </w:tc>
      </w:tr>
      <w:tr w14:paraId="14A1065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cutánea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de peso corporal Animal: rat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6"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B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de peso corporal Animal: rat, Guideline: OECD Guideline 401 (Acute Oral Toxicity), 95% CL: 2440 - 3180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DL50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3120 mg/kg de peso corporal Animal: mouse, Guideline: OECD Guideline 401 (Acute Oral Toxicity), 95% CL: 2620 - 3620</w:t>
            </w:r>
          </w:p>
        </w:tc>
      </w:tr>
      <w:tr w14:paraId="6700D318"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cutáneo conejo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5610 mg/kg de peso corporal Animal: rabbit, Guideline: OECD Guideline 402 (Acute Dermal Toxicity), 95% CL: 3578 - 8374</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7"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d-limonene (5989-27-5)</w:t>
            </w:r>
          </w:p>
        </w:tc>
      </w:tr>
      <w:tr w14:paraId="02D6B5B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de peso corporal Animal: rat, Animal sex: female,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8"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3-(5,5,6-trimethylbicyclo[2.2.1]hept-2-yl)cyclohexan-1-ol (3407-42-9)</w:t>
            </w:r>
          </w:p>
        </w:tc>
      </w:tr>
      <w:tr w14:paraId="02D6B5B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5000 mg/kg de peso corporal Animal: rat, Guideline: other:</w:t>
            </w:r>
          </w:p>
        </w:tc>
      </w:tr>
      <w:tr w14:paraId="6700D31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cutáneo conejo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5000 mg/kg de peso corporal Animal: rabbit,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9"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isocamphenyl cyclohexanol (66068-84-6)</w:t>
            </w:r>
          </w:p>
        </w:tc>
      </w:tr>
      <w:tr w14:paraId="02D6B5B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de peso corporal Animal: rat, Animal sex: female, Guideline: OECD Guideline 423 (Acute Oral toxicity - Acute Toxic Class Method)</w:t>
            </w:r>
          </w:p>
        </w:tc>
      </w:tr>
      <w:tr w14:paraId="14A1065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cutánea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de peso corporal Animal: rat, Guideline: OECD Guideline 402 (Acute Dermal Toxicity)</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CL50 Inhalación -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5,27 mg/l air Animal: rat, Guideline: OECD Guideline 403 (Acute Inhalation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Corrosión o irritación cutáneas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 clasificado (A la vista de los datos disponibles, no se cumplen los criterios de clasificación)</w:t>
            </w:r>
          </w:p>
        </w:tc>
      </w:tr>
    </w:tbl>
    <w:p w:rsidR="00A7593A" w:rsidRPr="0069446B" w:rsidP="009215A8" w14:paraId="5010A818" w14:textId="78B4B17E">
      <w:pPr>
        <w:pStyle w:val="SDSTextBlankLine"/>
      </w:pPr>
    </w:p>
    <w:tbl>
      <w:tblPr>
        <w:tblStyle w:val="SDSTableWithBordersWithHeaderRow"/>
        <w:tblW w:w="10489" w:type="dxa"/>
        <w:tblLayout w:type="fixed"/>
        <w:tblLook w:val="0020"/>
      </w:tblPr>
      <w:tblGrid>
        <w:gridCol w:w="3969"/>
        <w:gridCol w:w="6520"/>
      </w:tblGrid>
      <w:tr w14:paraId="6428FA57"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2A0D880C" w14:textId="112EF6DE">
            <w:pPr>
              <w:pStyle w:val="SDSTableTextHeading1"/>
              <w:rPr>
                <w:noProof w:val="0"/>
                <w:color w:val="auto"/>
              </w:rPr>
            </w:pPr>
            <w:r w:rsidRPr="0069446B" w:rsidR="00FA7F7F">
              <w:rPr>
                <w:noProof/>
                <w:color w:val="auto"/>
              </w:rPr>
              <w:t>alpha-iso-methylionone (127-51-5)</w:t>
            </w:r>
          </w:p>
        </w:tc>
      </w:tr>
      <w:tr w14:paraId="6CC585F5"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43265E28"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31F7069D" w14:textId="4EE742AD">
            <w:pPr>
              <w:pStyle w:val="SDSTableTextNormal"/>
              <w:rPr>
                <w:noProof w:val="0"/>
              </w:rPr>
            </w:pPr>
            <w:r w:rsidRPr="0069446B" w:rsidR="00FA7F7F">
              <w:rPr>
                <w:noProof/>
                <w:lang w:eastAsia="ja-JP"/>
              </w:rPr>
              <w:t>5,44 Temp.: 30 °C Concentration: 1 other</w:t>
            </w:r>
            <w:r w:rsidRPr="0069446B">
              <w:rPr>
                <w:rFonts w:hint="eastAsia"/>
                <w:noProof/>
                <w:lang w:eastAsia="ja-JP"/>
              </w:rPr>
              <w:t>:</w:t>
            </w:r>
          </w:p>
        </w:tc>
      </w:tr>
    </w:tbl>
    <w:p w:rsidR="00A7593A" w:rsidRPr="0069446B" w:rsidP="009215A8" w14:textId="78B4B17E">
      <w:pPr>
        <w:pStyle w:val="SDSTextBlankLine"/>
      </w:pPr>
    </w:p>
    <w:tbl>
      <w:tblPr>
        <w:tblStyle w:val="SDSTableWithBordersWithHeaderRow"/>
        <w:tblW w:w="10489" w:type="dxa"/>
        <w:tblLayout w:type="fixed"/>
        <w:tblLook w:val="0020"/>
      </w:tblPr>
      <w:tblGrid>
        <w:gridCol w:w="3969"/>
        <w:gridCol w:w="6520"/>
      </w:tblGrid>
      <w:tr w14:paraId="6428FA58"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textId="112EF6DE">
            <w:pPr>
              <w:pStyle w:val="SDSTableTextHeading1"/>
              <w:rPr>
                <w:noProof w:val="0"/>
                <w:color w:val="auto"/>
              </w:rPr>
            </w:pPr>
            <w:r w:rsidRPr="0069446B" w:rsidR="00FA7F7F">
              <w:rPr>
                <w:noProof/>
                <w:color w:val="auto"/>
              </w:rPr>
              <w:t>isocamphenyl cyclohexanol (66068-84-6)</w:t>
            </w:r>
          </w:p>
        </w:tc>
      </w:tr>
      <w:tr w14:paraId="6CC585F6"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textId="4EE742AD">
            <w:pPr>
              <w:pStyle w:val="SDSTableTextNormal"/>
              <w:rPr>
                <w:noProof w:val="0"/>
              </w:rPr>
            </w:pPr>
            <w:r w:rsidRPr="0069446B" w:rsidR="00FA7F7F">
              <w:rPr>
                <w:noProof/>
                <w:lang w:eastAsia="ja-JP"/>
              </w:rPr>
              <w:t>6,7 Temp.: 25 °C Concentration: 1 vol</w:t>
            </w:r>
            <w:r w:rsidRPr="0069446B">
              <w:rPr>
                <w:rFonts w:hint="eastAsia"/>
                <w:noProof/>
                <w:lang w:eastAsia="ja-JP"/>
              </w:rPr>
              <w: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Lesiones oculares graves o irritación ocular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 clasificado (A la vista de los datos disponibles, no se cumplen los criterios de clasificación)</w:t>
            </w:r>
          </w:p>
        </w:tc>
      </w:tr>
    </w:tbl>
    <w:p w:rsidR="00A7593A" w:rsidRPr="0069446B" w:rsidP="009215A8" w14:paraId="569A14D6" w14:textId="6455FAA7">
      <w:pPr>
        <w:pStyle w:val="SDSTextBlankLine"/>
      </w:pPr>
    </w:p>
    <w:tbl>
      <w:tblPr>
        <w:tblStyle w:val="SDSTableWithBordersWithHeaderRow"/>
        <w:tblW w:w="10489" w:type="dxa"/>
        <w:tblLayout w:type="fixed"/>
        <w:tblLook w:val="0020"/>
      </w:tblPr>
      <w:tblGrid>
        <w:gridCol w:w="3969"/>
        <w:gridCol w:w="6520"/>
      </w:tblGrid>
      <w:tr w14:paraId="4FDDC6C4"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701E277D" w14:textId="15263CC9">
            <w:pPr>
              <w:pStyle w:val="SDSTableTextHeading1"/>
              <w:rPr>
                <w:noProof w:val="0"/>
                <w:color w:val="auto"/>
              </w:rPr>
            </w:pPr>
            <w:r w:rsidRPr="0069446B" w:rsidR="00FA7F7F">
              <w:rPr>
                <w:noProof/>
                <w:color w:val="auto"/>
              </w:rPr>
              <w:t>alpha-iso-methylionone (127-51-5)</w:t>
            </w:r>
          </w:p>
        </w:tc>
      </w:tr>
      <w:tr w14:paraId="58CDE2D1"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0CE292D2"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6B272BF2" w14:textId="52E8F024">
            <w:pPr>
              <w:pStyle w:val="SDSTableTextNormal"/>
              <w:rPr>
                <w:noProof w:val="0"/>
              </w:rPr>
            </w:pPr>
            <w:r w:rsidRPr="0069446B" w:rsidR="00FA7F7F">
              <w:rPr>
                <w:noProof/>
                <w:lang w:eastAsia="ja-JP"/>
              </w:rPr>
              <w:t>5,44 Temp.: 30 °C Concentration: 1 other</w:t>
            </w:r>
            <w:r w:rsidRPr="0069446B">
              <w:rPr>
                <w:rFonts w:hint="eastAsia"/>
                <w:noProof/>
                <w:lang w:eastAsia="ja-JP"/>
              </w:rPr>
              <w:t>:</w:t>
            </w:r>
          </w:p>
        </w:tc>
      </w:tr>
    </w:tbl>
    <w:p w:rsidR="00A7593A" w:rsidRPr="0069446B" w:rsidP="009215A8" w14:textId="6455FAA7">
      <w:pPr>
        <w:pStyle w:val="SDSTextBlankLine"/>
      </w:pPr>
    </w:p>
    <w:tbl>
      <w:tblPr>
        <w:tblStyle w:val="SDSTableWithBordersWithHeaderRow"/>
        <w:tblW w:w="10489" w:type="dxa"/>
        <w:tblLayout w:type="fixed"/>
        <w:tblLook w:val="0020"/>
      </w:tblPr>
      <w:tblGrid>
        <w:gridCol w:w="3969"/>
        <w:gridCol w:w="6520"/>
      </w:tblGrid>
      <w:tr w14:paraId="4FDDC6C5"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textId="15263CC9">
            <w:pPr>
              <w:pStyle w:val="SDSTableTextHeading1"/>
              <w:rPr>
                <w:noProof w:val="0"/>
                <w:color w:val="auto"/>
              </w:rPr>
            </w:pPr>
            <w:r w:rsidRPr="0069446B" w:rsidR="00FA7F7F">
              <w:rPr>
                <w:noProof/>
                <w:color w:val="auto"/>
              </w:rPr>
              <w:t>isocamphenyl cyclohexanol (66068-84-6)</w:t>
            </w:r>
          </w:p>
        </w:tc>
      </w:tr>
      <w:tr w14:paraId="58CDE2D2"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textId="52E8F024">
            <w:pPr>
              <w:pStyle w:val="SDSTableTextNormal"/>
              <w:rPr>
                <w:noProof w:val="0"/>
              </w:rPr>
            </w:pPr>
            <w:r w:rsidRPr="0069446B" w:rsidR="00FA7F7F">
              <w:rPr>
                <w:noProof/>
                <w:lang w:eastAsia="ja-JP"/>
              </w:rPr>
              <w:t>6,7 Temp.: 25 °C Concentration: 1 vol</w:t>
            </w:r>
            <w:r w:rsidRPr="0069446B">
              <w:rPr>
                <w:rFonts w:hint="eastAsia"/>
                <w:noProof/>
                <w:lang w:eastAsia="ja-JP"/>
              </w:rPr>
              <w: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Sensibilización respiratoria o cutánea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No clasificado (A la vista de los datos disponibles, no se cumplen los criterios de clasificación)</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Mutagenicidad en células germinales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 clasificado (A la vista de los datos disponibles, no se cumplen los criterios de clasificación)</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Carcinogenicidad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 clasificado (A la vista de los datos disponibles, no se cumplen los criterios de clasificación)</w:t>
            </w:r>
          </w:p>
        </w:tc>
      </w:tr>
    </w:tbl>
    <w:p w:rsidR="00827634" w:rsidRPr="0069446B" w:rsidP="003E0104" w14:paraId="19EADB4D" w14:textId="0F48635D">
      <w:pPr>
        <w:pStyle w:val="SDSTextBlankLine"/>
      </w:pPr>
    </w:p>
    <w:tbl>
      <w:tblPr>
        <w:tblStyle w:val="SDSTableWithBordersWithHeaderRow"/>
        <w:tblW w:w="10489" w:type="dxa"/>
        <w:tblLayout w:type="fixed"/>
        <w:tblLook w:val="04A0"/>
      </w:tblPr>
      <w:tblGrid>
        <w:gridCol w:w="3969"/>
        <w:gridCol w:w="6520"/>
      </w:tblGrid>
      <w:tr w14:paraId="30ACEB5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61EBDDE8" w14:textId="3F55FECE">
            <w:pPr>
              <w:pStyle w:val="SDSTableTextHeading1"/>
              <w:rPr>
                <w:noProof w:val="0"/>
                <w:color w:val="auto"/>
              </w:rPr>
            </w:pPr>
            <w:r w:rsidRPr="0069446B" w:rsidR="00FA7F7F">
              <w:rPr>
                <w:noProof/>
                <w:color w:val="auto"/>
              </w:rPr>
              <w:t>2,6-di-tert-butyl-p-cresol (128-37-0)</w:t>
            </w:r>
          </w:p>
        </w:tc>
      </w:tr>
      <w:tr w14:paraId="095C82A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4CC5AB0" w14:textId="28F4EB77">
            <w:pPr>
              <w:pStyle w:val="SDSTableTextNormal"/>
              <w:rPr>
                <w:noProof w:val="0"/>
              </w:rPr>
            </w:pPr>
            <w:r w:rsidRPr="0069446B" w:rsidR="00FA7F7F">
              <w:rPr>
                <w:noProof/>
              </w:rPr>
              <w:t>NOAEL (crónico, oral, animal/macho, 2 años)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C01117" w14:textId="4F52C4C8">
            <w:pPr>
              <w:pStyle w:val="SDSTableTextNormal"/>
              <w:rPr>
                <w:noProof w:val="0"/>
              </w:rPr>
            </w:pPr>
            <w:r w:rsidRPr="0069446B">
              <w:rPr>
                <w:noProof/>
              </w:rPr>
              <w:t>25 mg/kg de peso corporal Animal: rat, Animal sex: male</w:t>
            </w:r>
          </w:p>
        </w:tc>
      </w:tr>
    </w:tbl>
    <w:p w:rsidR="00827634" w:rsidRPr="0069446B" w:rsidP="003E0104" w14:textId="0F48635D">
      <w:pPr>
        <w:pStyle w:val="SDSTextBlankLine"/>
      </w:pPr>
    </w:p>
    <w:tbl>
      <w:tblPr>
        <w:tblStyle w:val="SDSTableWithBordersWithHeaderRow"/>
        <w:tblW w:w="10489" w:type="dxa"/>
        <w:tblLayout w:type="fixed"/>
        <w:tblLook w:val="04A0"/>
      </w:tblPr>
      <w:tblGrid>
        <w:gridCol w:w="3969"/>
        <w:gridCol w:w="6520"/>
      </w:tblGrid>
      <w:tr w14:paraId="30ACEB52"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3F55FECE">
            <w:pPr>
              <w:pStyle w:val="SDSTableTextHeading1"/>
              <w:rPr>
                <w:noProof w:val="0"/>
                <w:color w:val="auto"/>
              </w:rPr>
            </w:pPr>
            <w:r w:rsidRPr="0069446B" w:rsidR="00FA7F7F">
              <w:rPr>
                <w:noProof/>
                <w:color w:val="auto"/>
              </w:rPr>
              <w:t>7-hydroxycitronellal (107-75-5)</w:t>
            </w:r>
          </w:p>
        </w:tc>
      </w:tr>
      <w:tr w14:paraId="095C82A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F4EB77">
            <w:pPr>
              <w:pStyle w:val="SDSTableTextNormal"/>
              <w:rPr>
                <w:noProof w:val="0"/>
              </w:rPr>
            </w:pPr>
            <w:r w:rsidRPr="0069446B" w:rsidR="00FA7F7F">
              <w:rPr>
                <w:noProof/>
              </w:rPr>
              <w:t>NOAEL (crónico, oral, animal/macho, 2 años)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52C4C8">
            <w:pPr>
              <w:pStyle w:val="SDSTableTextNormal"/>
              <w:rPr>
                <w:noProof w:val="0"/>
              </w:rPr>
            </w:pPr>
            <w:r w:rsidRPr="0069446B">
              <w:rPr>
                <w:noProof/>
              </w:rPr>
              <w:t>60 mg/kg de peso corporal Animal: mouse, Animal sex: male, Guideline: OECD Guideline 453 (Combined Chronic Toxicity / Carcinogenicity Studies)</w:t>
            </w:r>
          </w:p>
        </w:tc>
      </w:tr>
    </w:tbl>
    <w:p w:rsidR="00827634" w:rsidRPr="0069446B" w:rsidP="003E0104" w14:textId="0F48635D">
      <w:pPr>
        <w:pStyle w:val="SDSTextBlankLine"/>
      </w:pPr>
    </w:p>
    <w:tbl>
      <w:tblPr>
        <w:tblStyle w:val="SDSTableWithBordersWithHeaderRow"/>
        <w:tblW w:w="10489" w:type="dxa"/>
        <w:tblLayout w:type="fixed"/>
        <w:tblLook w:val="04A0"/>
      </w:tblPr>
      <w:tblGrid>
        <w:gridCol w:w="3969"/>
        <w:gridCol w:w="6520"/>
      </w:tblGrid>
      <w:tr w14:paraId="30ACEB53"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3F55FECE">
            <w:pPr>
              <w:pStyle w:val="SDSTableTextHeading1"/>
              <w:rPr>
                <w:noProof w:val="0"/>
                <w:color w:val="auto"/>
              </w:rPr>
            </w:pPr>
            <w:r w:rsidRPr="0069446B" w:rsidR="00FA7F7F">
              <w:rPr>
                <w:noProof/>
                <w:color w:val="auto"/>
              </w:rPr>
              <w:t>geraniol (106-24-1)</w:t>
            </w:r>
          </w:p>
        </w:tc>
      </w:tr>
      <w:tr w14:paraId="095C82A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F4EB77">
            <w:pPr>
              <w:pStyle w:val="SDSTableTextNormal"/>
              <w:rPr>
                <w:noProof w:val="0"/>
              </w:rPr>
            </w:pPr>
            <w:r w:rsidRPr="0069446B" w:rsidR="00FA7F7F">
              <w:rPr>
                <w:noProof/>
              </w:rPr>
              <w:t>NOAEL (crónico, oral, animal/macho, 2 años)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52C4C8">
            <w:pPr>
              <w:pStyle w:val="SDSTableTextNormal"/>
              <w:rPr>
                <w:noProof w:val="0"/>
              </w:rPr>
            </w:pPr>
            <w:r w:rsidRPr="0069446B">
              <w:rPr>
                <w:noProof/>
              </w:rPr>
              <w:t>60 mg/kg de peso corporal Animal: mouse, Animal sex: male, Guideline: OECD Guideline 453 (Combined Chronic Toxicity / Carcinogenicity Studies)</w:t>
            </w:r>
          </w:p>
        </w:tc>
      </w:tr>
    </w:tbl>
    <w:p w:rsidR="00827634" w:rsidRPr="0069446B" w:rsidP="003E0104" w14:textId="0F48635D">
      <w:pPr>
        <w:pStyle w:val="SDSTextBlankLine"/>
      </w:pPr>
    </w:p>
    <w:tbl>
      <w:tblPr>
        <w:tblStyle w:val="SDSTableWithBordersWithHeaderRow"/>
        <w:tblW w:w="10489" w:type="dxa"/>
        <w:tblLayout w:type="fixed"/>
        <w:tblLook w:val="04A0"/>
      </w:tblPr>
      <w:tblGrid>
        <w:gridCol w:w="3969"/>
        <w:gridCol w:w="6520"/>
      </w:tblGrid>
      <w:tr w14:paraId="30ACEB54"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3F55FECE">
            <w:pPr>
              <w:pStyle w:val="SDSTableTextHeading1"/>
              <w:rPr>
                <w:noProof w:val="0"/>
                <w:color w:val="auto"/>
              </w:rPr>
            </w:pPr>
            <w:r w:rsidRPr="0069446B" w:rsidR="00FA7F7F">
              <w:rPr>
                <w:noProof/>
                <w:color w:val="auto"/>
              </w:rPr>
              <w:t>citral (5392-40-5)</w:t>
            </w:r>
          </w:p>
        </w:tc>
      </w:tr>
      <w:tr w14:paraId="095C82A7"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F4EB77">
            <w:pPr>
              <w:pStyle w:val="SDSTableTextNormal"/>
              <w:rPr>
                <w:noProof w:val="0"/>
              </w:rPr>
            </w:pPr>
            <w:r w:rsidRPr="0069446B" w:rsidR="00FA7F7F">
              <w:rPr>
                <w:noProof/>
              </w:rPr>
              <w:t>NOAEL (crónico, oral, animal/macho, 2 años)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52C4C8">
            <w:pPr>
              <w:pStyle w:val="SDSTableTextNormal"/>
              <w:rPr>
                <w:noProof w:val="0"/>
              </w:rPr>
            </w:pPr>
            <w:r w:rsidRPr="0069446B">
              <w:rPr>
                <w:noProof/>
              </w:rPr>
              <w:t>60 mg/kg de peso corporal Animal: mouse, Animal sex: male, Guideline: OECD Guideline 453 (Combined Chronic Toxicity / Carcinogenicity Studies)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Toxicidad para la reproducción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 clasificado (A la vista de los datos disponibles, no se cumplen los criterios de clasificación)</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coumarin (91-64-5)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(animal/hembra,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&gt; 333 mg/kg de peso corporal Animal: rat, Animal sex: female</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5"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d-limonene (5989-27-5)</w:t>
            </w:r>
          </w:p>
        </w:tc>
      </w:tr>
      <w:tr w14:paraId="7F5CEB5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6472993">
            <w:pPr>
              <w:pStyle w:val="SDSTableTextNormal"/>
              <w:rPr>
                <w:noProof w:val="0"/>
              </w:rPr>
            </w:pPr>
            <w:r w:rsidRPr="0069446B" w:rsidR="00FA7F7F">
              <w:rPr>
                <w:noProof/>
              </w:rPr>
              <w:t>NOAEL (animal/hembra,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98BF6E9">
            <w:pPr>
              <w:pStyle w:val="SDSTableTextNormal"/>
              <w:rPr>
                <w:noProof w:val="0"/>
              </w:rPr>
            </w:pPr>
            <w:r w:rsidRPr="0069446B">
              <w:rPr>
                <w:noProof/>
              </w:rPr>
              <w:t>600 mg/kg de peso corporal Animal: rat, Animal sex: female,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Toxicidad específica en determinados órganos (STOT) – exposición única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 clasificado (A la vista de los datos disponibles, no se cumplen los criterios de clasificación)</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Toxicidad específica en determinados órganos (STOT) – exposición repetida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 clasificado (A la vista de los datos disponibles, no se cumplen los criterios de clasificación)</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alpha-iso-methylionone (127-51-5)</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30 mg/kg de peso corporal Animal: rat, Animal sex: male, Guideline: OECD Guideline 408 (Repeated Dose 90-Day Oral Toxicity Study in Rodents)</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(cutáneo, rata/conejo,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50 mg/kg de peso corporal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acetyl cedrene (32388-55-9)</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80 mg/kg de peso corporal Animal: rat, Guideline: OECD Guideline 408 (Repeated Dose 90-Day Oral Toxicity Study in Rodents)</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(cutáneo, rata/conejo,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300 mg/kg de peso corporal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7-hydroxycitronellal (107-75-5)</w:t>
            </w:r>
          </w:p>
        </w:tc>
      </w:tr>
      <w:tr w14:paraId="07CBBCD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 mg/kg de peso corporal Animal: rat, Guideline: OECD Guideline 453 (Combined Chronic Toxicity / Carcinogenicity Studies)</w:t>
            </w:r>
          </w:p>
        </w:tc>
      </w:tr>
      <w:tr w14:paraId="6B0A5EE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7C20CFC" w14:textId="6F7047DD">
            <w:pPr>
              <w:pStyle w:val="SDSTableTextNormal"/>
              <w:rPr>
                <w:noProof w:val="0"/>
              </w:rPr>
            </w:pPr>
            <w:r w:rsidRPr="0069446B" w:rsidR="00FA7F7F">
              <w:rPr>
                <w:noProof/>
              </w:rPr>
              <w:t>NOAEL (subcrónico, oral, animal/macho,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A78E587" w14:textId="4F8C43C8">
            <w:pPr>
              <w:pStyle w:val="SDSTableTextNormal"/>
              <w:rPr>
                <w:noProof w:val="0"/>
              </w:rPr>
            </w:pPr>
            <w:r w:rsidRPr="0069446B">
              <w:rPr>
                <w:noProof/>
              </w:rPr>
              <w:t>60 mg/kg de peso corporal Animal: mouse, Animal sex: male, Guideline: OECD Guideline 453 (Combined Chronic Toxicity / Carcinogenicity Studies)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citronellol (106-22-9)</w:t>
            </w:r>
          </w:p>
        </w:tc>
      </w:tr>
      <w:tr w14:paraId="07CBBCD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2000 mg/kg de peso corporal Animal: rat, Guideline: other:</w:t>
            </w:r>
          </w:p>
        </w:tc>
      </w:tr>
      <w:tr w14:paraId="1DE6168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E7C06A1" w14:textId="0EA9F377">
            <w:pPr>
              <w:pStyle w:val="SDSTableTextNormal"/>
              <w:rPr>
                <w:noProof w:val="0"/>
                <w:lang w:val="de-DE"/>
              </w:rPr>
            </w:pPr>
            <w:r w:rsidRPr="0069446B">
              <w:rPr>
                <w:noProof/>
                <w:lang w:val="de-DE"/>
              </w:rPr>
              <w:t>NOAEC (inhalación, rata, polvo/niebla/humo,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1724A9" w14:textId="17F52CE8">
            <w:pPr>
              <w:pStyle w:val="SDSTableTextNormal"/>
              <w:rPr>
                <w:noProof w:val="0"/>
              </w:rPr>
            </w:pPr>
            <w:r w:rsidRPr="0069446B">
              <w:rPr>
                <w:noProof/>
              </w:rPr>
              <w:t>0,063 mg/l air Animal: rat, Guideline: OECD Guideline 412 (Subacute Inhalation Toxicity: 28-Day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D"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coumarin (91-64-5)</w:t>
            </w:r>
          </w:p>
        </w:tc>
      </w:tr>
      <w:tr w14:paraId="72CFCCBC"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E7D595" w14:textId="5F431561">
            <w:pPr>
              <w:pStyle w:val="SDSTableTextNormal"/>
              <w:rPr>
                <w:noProof w:val="0"/>
              </w:rPr>
            </w:pPr>
            <w:r w:rsidRPr="0069446B" w:rsidR="00FA7F7F">
              <w:rPr>
                <w:noProof/>
              </w:rPr>
              <w:t>NOAEL (subcrónico, oral, animal/hembra,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3F96CCC" w14:textId="62AACB73">
            <w:pPr>
              <w:pStyle w:val="SDSTableTextNormal"/>
              <w:rPr>
                <w:noProof w:val="0"/>
              </w:rPr>
            </w:pPr>
            <w:r w:rsidRPr="0069446B">
              <w:rPr>
                <w:noProof/>
              </w:rPr>
              <w:t>&gt; 138,3 mg/kg de peso corporal Animal: mouse, Animal sex: female</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E"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geraniol (106-24-1)</w:t>
            </w:r>
          </w:p>
        </w:tc>
      </w:tr>
      <w:tr w14:paraId="32F42FBF"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(cutáneo, rata/conejo,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300 mg/kg de peso corporal Animal: rat, Guideline: other:,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F"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linalyl acetate (115-95-7)</w:t>
            </w:r>
          </w:p>
        </w:tc>
      </w:tr>
      <w:tr w14:paraId="32F42FC0"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(cutáneo, rata/conejo,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de peso corporal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E0"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piperonal (120-57-0)</w:t>
            </w:r>
          </w:p>
        </w:tc>
      </w:tr>
      <w:tr w14:paraId="07CBBCD9"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300 mg/kg de peso corporal Animal: rat, Guideline: OECD Guideline 422 (Combined Repeated Dose Toxicity Study with the Reproduction / Developmental Toxicity Screening Test),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E1"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citral (5392-40-5)</w:t>
            </w:r>
          </w:p>
        </w:tc>
      </w:tr>
      <w:tr w14:paraId="42A847A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F68F7FC" w14:textId="315015CF">
            <w:pPr>
              <w:pStyle w:val="SDSTableTextNormal"/>
              <w:rPr>
                <w:noProof w:val="0"/>
              </w:rPr>
            </w:pPr>
            <w:r w:rsidRPr="0069446B" w:rsidR="00FA7F7F">
              <w:rPr>
                <w:noProof/>
              </w:rPr>
              <w:t>LOAEC (inhalación, rata, gas,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8FE6653" w14:textId="5FF84CD9">
            <w:pPr>
              <w:pStyle w:val="SDSTableTextNormal"/>
              <w:rPr>
                <w:noProof w:val="0"/>
              </w:rPr>
            </w:pPr>
            <w:r w:rsidRPr="0069446B" w:rsidR="00FA7F7F">
              <w:rPr>
                <w:noProof/>
              </w:rPr>
              <w:t>68 ppm Animal: rat, Animal sex: female</w:t>
            </w:r>
          </w:p>
        </w:tc>
      </w:tr>
      <w:tr w14:paraId="07CBBCDA"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 mg/kg de peso corporal Animal: rat, Guideline: OECD Guideline 453 (Combined Chronic Toxicity / Carcinogenicity Studies)</w:t>
            </w:r>
          </w:p>
        </w:tc>
      </w:tr>
      <w:tr w14:paraId="7DB1732F"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12186D5" w14:textId="59F51324">
            <w:pPr>
              <w:pStyle w:val="SDSTableTextNormal"/>
              <w:rPr>
                <w:noProof w:val="0"/>
                <w:lang w:val="de-DE"/>
              </w:rPr>
            </w:pPr>
            <w:r w:rsidRPr="0069446B" w:rsidR="00FA7F7F">
              <w:rPr>
                <w:noProof/>
                <w:lang w:val="de-DE"/>
              </w:rPr>
              <w:t>NOAEC (inhalación, rata, gas,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3E3E78EA" w14:textId="1918185F">
            <w:pPr>
              <w:pStyle w:val="SDSTableTextNormal"/>
              <w:rPr>
                <w:noProof w:val="0"/>
              </w:rPr>
            </w:pPr>
            <w:r w:rsidRPr="0069446B" w:rsidR="00FA7F7F">
              <w:rPr>
                <w:noProof/>
              </w:rPr>
              <w:t>34 ppm Animal: rat, Animal sex: female</w:t>
            </w:r>
          </w:p>
        </w:tc>
      </w:tr>
      <w:tr w14:paraId="6B0A5EE9"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F7047DD">
            <w:pPr>
              <w:pStyle w:val="SDSTableTextNormal"/>
              <w:rPr>
                <w:noProof w:val="0"/>
              </w:rPr>
            </w:pPr>
            <w:r w:rsidRPr="0069446B" w:rsidR="00FA7F7F">
              <w:rPr>
                <w:noProof/>
              </w:rPr>
              <w:t>NOAEL (subcrónico, oral, animal/macho,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4F8C43C8">
            <w:pPr>
              <w:pStyle w:val="SDSTableTextNormal"/>
              <w:rPr>
                <w:noProof w:val="0"/>
              </w:rPr>
            </w:pPr>
            <w:r w:rsidRPr="0069446B">
              <w:rPr>
                <w:noProof/>
              </w:rPr>
              <w:t>60 mg/kg de peso corporal Animal: mouse, Animal sex: male, Guideline: OECD Guideline 453 (Combined Chronic Toxicity / Carcinogenicity Studies)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E2"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C1"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(cutáneo, rata/conejo,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de peso corporal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E3"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3-(5,5,6-trimethylbicyclo[2.2.1]hept-2-yl)cyclohexan-1-ol (3407-42-9)</w:t>
            </w:r>
          </w:p>
        </w:tc>
      </w:tr>
      <w:tr w14:paraId="07CBBCDB"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25 mg/kg de peso corporal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E4"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isocamphenyl cyclohexanol (66068-84-6)</w:t>
            </w:r>
          </w:p>
        </w:tc>
      </w:tr>
      <w:tr w14:paraId="07CBBCDC"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1125 mg/kg de peso corporal Animal: rat, Guideline: OECD Guideline 407 (Repeated Dose 28-Day Oral Toxicity Study in Rodents)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Peligro por aspiración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 clasificado (A la vista de los datos disponibles, no se cumplen los criterios de clasificación)</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Vela de orchidée blanche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Viscosidad, cinemática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 aplicable</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acetyl cedrene (32388-55-9)</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Viscosidad, cinemática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 xml:space="preserve">38,25 mm²/s Temp.: '20°C' </w:t>
            </w:r>
            <w:r w:rsidRPr="0069446B">
              <w:rPr>
                <w:rFonts w:hint="eastAsia"/>
                <w:noProof/>
                <w:lang w:eastAsia="ja-JP"/>
              </w:rPr>
              <w:t>Parameter: 'kinematic viscosity (in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Información sobre otros peligros</w:t>
      </w:r>
      <w:bookmarkEnd w:id="3"/>
    </w:p>
    <w:p w:rsidR="00C90616" w:rsidRPr="0069446B" w:rsidP="00C90616" w14:paraId="2597B96C" w14:textId="77777777">
      <w:pPr>
        <w:pStyle w:val="SDSTextNormal"/>
        <w:bidi w:val="0"/>
        <w:rPr>
          <w:rtl w:val="0"/>
        </w:rPr>
      </w:pPr>
      <w:r w:rsidRPr="0069446B">
        <w:rPr>
          <w:rtl w:val="0"/>
        </w:rPr>
        <w:t>No se dispone de información adicional</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12</w:t>
      </w:r>
      <w:r w:rsidRPr="0069446B">
        <w:rPr>
          <w:noProof w:val="0"/>
          <w:color w:val="auto"/>
          <w:lang w:val="en-US"/>
        </w:rPr>
        <w:t xml:space="preserve">: </w:t>
      </w:r>
      <w:r w:rsidRPr="0069446B" w:rsidR="00FA7F7F">
        <w:rPr>
          <w:noProof/>
          <w:color w:val="auto"/>
          <w:lang w:val="en-US"/>
        </w:rPr>
        <w:t>Información ecológica</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Toxicidad</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Ecología -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sidR="00FA7F7F">
              <w:rPr>
                <w:noProof/>
              </w:rPr>
              <w:t>Nocivo para los organismos acuáticos, con efectos nocivos duraderos.</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Peligro a corto plazo (agudo) para el medio ambiente acuático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 clasificado (A la vista de los datos disponibles, no se cumplen los criterios de clasificación)</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Peligro a largo plazo (crónico) para el medio ambiente acuático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Nocivo para los organismos acuáticos, provoca efectos adversos a largo plazo.</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[1S-(1α,3aβ,4α,8aβ)]-decahydro-4,8,8-trimethyl-9-methylene-1,4-methanoazulene (475-20-7)</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0,119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sidR="00FA7F7F">
              <w:rPr>
                <w:noProof/>
              </w:rPr>
              <w:t>0,28 mg/l Test organisms (species): other:</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2,6-di-tert-butyl-p-cresol (128-37-0)</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&gt; 0,57 mg/l Test organisms (species): Danio rerio (previous name: Brachydanio rerio)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0,48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0,4 mg/l Test organisms (species): Desmodesmus subspicatus (previous name: Scenedesmus subspicatus)</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(crónico)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1 mg/l Test organisms (species): Daphnia magna Duration: '21 d'</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(crónico)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0,023 mg/l Test organisms (species): Daphnia magna Duration: '21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alpha-iso-methylionone (127-51-5)</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10,9 mg/l Test organisms (species): Oncorhynchus mykiss (previous name: Salmo gairdneri)</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9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20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[3R-(3α,3aβ,6α,7β,8aα)]-octahydro-3,6,8,8-tetramethyl-1H-3a,7-methanoazulen-5-yl acetate (77-54-3)</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 15,61 mg/l Test organisms (species): Danio rerio (previous name: Brachydanio rerio)</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0,33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0,31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acetyl cedrene (32388-55-9)</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2,3 mg/l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CL50 - Peces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3 mg/l Test organisms (species): Pimephales promelas</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0,86 mg/l Test organisms (species): Daphnia magna</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Pr>
                <w:noProof/>
              </w:rPr>
              <w:t>2,8 mg/l Test organisms (species): Raphidocelis subcapitata (previous names: Pseudokirchneriella subcapitata, Selenastrum capricornutum)</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CE50 96h - Algas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&gt; 4,3 mg/l Test organisms (species): Raphidocelis subcapitata (previous names: Pseudokirchneriella subcapitata, Selenastrum capricornutum)</w:t>
            </w:r>
          </w:p>
        </w:tc>
      </w:tr>
      <w:tr w14:paraId="61BDF10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C2650D0">
            <w:pPr>
              <w:pStyle w:val="SDSTableTextNormal"/>
              <w:rPr>
                <w:noProof w:val="0"/>
              </w:rPr>
            </w:pPr>
            <w:r w:rsidRPr="0069446B" w:rsidR="00FA7F7F">
              <w:rPr>
                <w:noProof/>
              </w:rPr>
              <w:t>LOEC (crónico)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7C09E6">
            <w:pPr>
              <w:pStyle w:val="SDSTableTextNormal"/>
              <w:rPr>
                <w:noProof w:val="0"/>
              </w:rPr>
            </w:pPr>
            <w:r w:rsidRPr="0069446B">
              <w:rPr>
                <w:noProof/>
              </w:rPr>
              <w:t>0,23 mg/l Test organisms (species): Daphnia magna Duration: '21 d'</w:t>
            </w:r>
          </w:p>
        </w:tc>
      </w:tr>
      <w:tr w14:paraId="4F2507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1CC63E7">
            <w:pPr>
              <w:pStyle w:val="SDSTableTextNormal"/>
              <w:rPr>
                <w:noProof w:val="0"/>
              </w:rPr>
            </w:pPr>
            <w:r w:rsidRPr="0069446B" w:rsidR="00FA7F7F">
              <w:rPr>
                <w:noProof/>
              </w:rPr>
              <w:t>NOEC (crónico)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0C0213A">
            <w:pPr>
              <w:pStyle w:val="SDSTableTextNormal"/>
              <w:rPr>
                <w:noProof w:val="0"/>
              </w:rPr>
            </w:pPr>
            <w:r w:rsidRPr="0069446B">
              <w:rPr>
                <w:noProof/>
              </w:rPr>
              <w:t>0,087 mg/l Test organisms (species): Daphnia magna Duration: '21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7-hydroxycitronellal (107-75-5)</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31,6 mg/l Test organisms (species): Leuciscus idus</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410 mg/l Test organisms (species): Daphnia magna</w:t>
            </w:r>
          </w:p>
        </w:tc>
      </w:tr>
      <w:tr w14:paraId="66FAA3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123,32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citronellol (106-22-9)</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14,66 mg/l Test organisms (species): Leuciscus idus</w:t>
            </w:r>
          </w:p>
        </w:tc>
      </w:tr>
      <w:tr w14:paraId="758D634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17,48 mg/l Test organisms (species): Daphnia magna</w:t>
            </w:r>
          </w:p>
        </w:tc>
      </w:tr>
      <w:tr w14:paraId="66FAA36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sidR="00FA7F7F">
              <w:rPr>
                <w:noProof/>
              </w:rPr>
              <w:t>2,4 mg/l Test organisms (species):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coumarin (91-64-5)</w:t>
            </w:r>
          </w:p>
        </w:tc>
      </w:tr>
      <w:tr w14:paraId="562CCB6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sidR="00FA7F7F">
              <w:rPr>
                <w:noProof/>
              </w:rPr>
              <w:t>2,94 mg/l Test organisms (species):</w:t>
            </w:r>
          </w:p>
        </w:tc>
      </w:tr>
      <w:tr w14:paraId="7D93309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546B52">
            <w:pPr>
              <w:pStyle w:val="SDSTableTextNormal"/>
              <w:rPr>
                <w:noProof w:val="0"/>
              </w:rPr>
            </w:pPr>
            <w:r w:rsidRPr="0069446B" w:rsidR="00FA7F7F">
              <w:rPr>
                <w:noProof/>
              </w:rPr>
              <w:t>CL50 - Peces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F7D6EA2">
            <w:pPr>
              <w:pStyle w:val="SDSTableTextNormal"/>
              <w:rPr>
                <w:noProof w:val="0"/>
              </w:rPr>
            </w:pPr>
            <w:r w:rsidRPr="0069446B" w:rsidR="00FA7F7F">
              <w:rPr>
                <w:noProof/>
              </w:rPr>
              <w:t>1,324 mg/l Test organisms (species):</w:t>
            </w:r>
          </w:p>
        </w:tc>
      </w:tr>
      <w:tr w14:paraId="758D63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8,012 mg/l Test organisms (species): Daphnia sp.</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CE50 96h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1,452 mg/l Test organisms (species):</w:t>
            </w:r>
          </w:p>
        </w:tc>
      </w:tr>
      <w:tr w14:paraId="4F25074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1CC63E7">
            <w:pPr>
              <w:pStyle w:val="SDSTableTextNormal"/>
              <w:rPr>
                <w:noProof w:val="0"/>
              </w:rPr>
            </w:pPr>
            <w:r w:rsidRPr="0069446B" w:rsidR="00FA7F7F">
              <w:rPr>
                <w:noProof/>
              </w:rPr>
              <w:t>NOEC (crónico)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0C0213A">
            <w:pPr>
              <w:pStyle w:val="SDSTableTextNormal"/>
              <w:rPr>
                <w:noProof w:val="0"/>
              </w:rPr>
            </w:pPr>
            <w:r w:rsidRPr="0069446B">
              <w:rPr>
                <w:noProof/>
              </w:rPr>
              <w:t>0,5 mg/l Test organisms (species):  Duration: '21 d'</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crónico peces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0,191 mg/l Test organisms (species):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geraniol (106-24-1)</w:t>
            </w:r>
          </w:p>
        </w:tc>
      </w:tr>
      <w:tr w14:paraId="562CCB6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 22 mg/l Test organisms (species): Danio rerio (previous name: Brachydanio rerio)</w:t>
            </w:r>
          </w:p>
        </w:tc>
      </w:tr>
      <w:tr w14:paraId="758D63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10,8 mg/l Test organisms (species): Daphnia magna</w:t>
            </w:r>
          </w:p>
        </w:tc>
      </w:tr>
      <w:tr w14:paraId="66FAA36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13,1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linalyl acetate (115-95-7)</w:t>
            </w:r>
          </w:p>
        </w:tc>
      </w:tr>
      <w:tr w14:paraId="562CCB6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11 mg/l Test organisms (species): Cyprinus carpio</w:t>
            </w:r>
          </w:p>
        </w:tc>
      </w:tr>
      <w:tr w14:paraId="758D634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66FAA3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13,1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nerol (106-25-2)</w:t>
            </w:r>
          </w:p>
        </w:tc>
      </w:tr>
      <w:tr w14:paraId="562CCB6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20,3 mg/l Test organisms (species): Danio rerio (previous name: Brachydanio rerio)</w:t>
            </w:r>
          </w:p>
        </w:tc>
      </w:tr>
      <w:tr w14:paraId="758D634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32,4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piperonal (120-57-0)</w:t>
            </w:r>
          </w:p>
        </w:tc>
      </w:tr>
      <w:tr w14:paraId="562CCB6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2,5 mg/l Test organisms (species): Cyprinus carpio</w:t>
            </w:r>
          </w:p>
        </w:tc>
      </w:tr>
      <w:tr w14:paraId="758D634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52 mg/l Test organisms (species): Daphnia magna</w:t>
            </w:r>
          </w:p>
        </w:tc>
      </w:tr>
      <w:tr w14:paraId="66FAA3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31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Algas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6,8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citral (5392-40-5)</w:t>
            </w:r>
          </w:p>
        </w:tc>
      </w:tr>
      <w:tr w14:paraId="562CCB6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6,78 mg/l Test organisms (species): Leuciscus idus</w:t>
            </w:r>
          </w:p>
        </w:tc>
      </w:tr>
      <w:tr w14:paraId="758D634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6,8 mg/l Test organisms (species): Daphnia magna</w:t>
            </w:r>
          </w:p>
        </w:tc>
      </w:tr>
      <w:tr w14:paraId="66FAA3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103,8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B"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CE50 96h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Pr>
                <w:noProof/>
              </w:rPr>
              <w:t>88,3 mg/l Test organisms (species): Desmodesmus subspicatus (previous name: Scenedesmus subspicatus)</w:t>
            </w:r>
          </w:p>
        </w:tc>
      </w:tr>
      <w:tr w14:paraId="2AED0D7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B0185B1">
            <w:pPr>
              <w:pStyle w:val="SDSTableTextNormal"/>
              <w:rPr>
                <w:noProof w:val="0"/>
              </w:rPr>
            </w:pPr>
            <w:r w:rsidRPr="0069446B" w:rsidR="00FA7F7F">
              <w:rPr>
                <w:noProof/>
              </w:rPr>
              <w:t>CE50 96h - Algas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d-limonene (5989-27-5)</w:t>
            </w:r>
          </w:p>
        </w:tc>
      </w:tr>
      <w:tr w14:paraId="562CC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720 μg/l Test organisms (species): Pimephales promelas</w:t>
            </w:r>
          </w:p>
        </w:tc>
      </w:tr>
      <w:tr w14:paraId="7D93309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546B52">
            <w:pPr>
              <w:pStyle w:val="SDSTableTextNormal"/>
              <w:rPr>
                <w:noProof w:val="0"/>
              </w:rPr>
            </w:pPr>
            <w:r w:rsidRPr="0069446B" w:rsidR="00FA7F7F">
              <w:rPr>
                <w:noProof/>
              </w:rPr>
              <w:t>CL50 - Peces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F7D6EA2">
            <w:pPr>
              <w:pStyle w:val="SDSTableTextNormal"/>
              <w:rPr>
                <w:noProof w:val="0"/>
              </w:rPr>
            </w:pPr>
            <w:r w:rsidRPr="0069446B">
              <w:rPr>
                <w:noProof/>
              </w:rPr>
              <w:t>702 μg/l Test organisms (species): Pimephales promelas</w:t>
            </w:r>
          </w:p>
        </w:tc>
      </w:tr>
      <w:tr w14:paraId="758D635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CE50 - Crustáceos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Algas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D"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3-(5,5,6-trimethylbicyclo[2.2.1]hept-2-yl)cyclohexan-1-ol (3407-42-9)</w:t>
            </w:r>
          </w:p>
        </w:tc>
      </w:tr>
      <w:tr w14:paraId="758D635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184,5055 mg/l Test organisms (species): Daphnia magna</w:t>
            </w:r>
          </w:p>
        </w:tc>
      </w:tr>
      <w:tr w14:paraId="66FAA3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114,3828 mg/l Test organisms (species): Raphidocelis subcapitata (previous names: Pseudokirchneriella subcapitata, Selenastrum capricornutum)</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Persistencia y degradabilidad</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Vela de orchidée blanche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 fácilmente degradable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[1S-(1α,3aβ,4α,8aβ)]-decahydro-4,8,8-trimethyl-9-methylene-1,4-methanoazulene (475-20-7)</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2,6-di-tert-butyl-p-cresol (128-37-0)</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alpha-iso-methylionone (127-51-5)</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[3R-(3α,3aβ,6α,7β,8aα)]-octahydro-3,6,8,8-tetramethyl-1H-3a,7-methanoazulen-5-yl acetate (77-54-3)</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acetyl cedrene (32388-55-9)</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7-hydroxycitronellal (107-75-5)</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citronellol (106-22-9)</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Fácilmente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coumarin (91-64-5)</w:t>
            </w:r>
          </w:p>
        </w:tc>
      </w:tr>
      <w:tr w14:paraId="2D6A99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B"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geraniol (106-24-1)</w:t>
            </w:r>
          </w:p>
        </w:tc>
      </w:tr>
      <w:tr w14:paraId="2D6A99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linalyl acetate (115-95-7)</w:t>
            </w:r>
          </w:p>
        </w:tc>
      </w:tr>
      <w:tr w14:paraId="2D6A99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Fácilmente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D"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nerol (106-25-2)</w:t>
            </w:r>
          </w:p>
        </w:tc>
      </w:tr>
      <w:tr w14:paraId="2D6A99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piperonal (120-57-0)</w:t>
            </w:r>
          </w:p>
        </w:tc>
      </w:tr>
      <w:tr w14:paraId="2D6A996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citral (5392-40-5)</w:t>
            </w:r>
          </w:p>
        </w:tc>
      </w:tr>
      <w:tr w14:paraId="2D6A996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1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Fácilmente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1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d-limonene (5989-27-5)</w:t>
            </w:r>
          </w:p>
        </w:tc>
      </w:tr>
      <w:tr w14:paraId="2D6A99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Fácilmente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1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3-(5,5,6-trimethylbicyclo[2.2.1]hept-2-yl)cyclohexan-1-ol (3407-42-9)</w:t>
            </w:r>
          </w:p>
        </w:tc>
      </w:tr>
      <w:tr w14:paraId="2D6A99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1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isocamphenyl cyclohexanol (66068-84-6)</w:t>
            </w:r>
          </w:p>
        </w:tc>
      </w:tr>
      <w:tr w14:paraId="2D6A99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Potencial de bioacumulación</w:t>
      </w:r>
    </w:p>
    <w:p w:rsidR="00827634" w:rsidRPr="0069446B" w:rsidP="009E5102" w14:paraId="6B1D5F41" w14:textId="77777777">
      <w:pPr>
        <w:pStyle w:val="SDSTextNormal"/>
        <w:bidi w:val="0"/>
        <w:rPr>
          <w:rtl w:val="0"/>
        </w:rPr>
      </w:pPr>
      <w:r w:rsidRPr="0069446B">
        <w:rPr>
          <w:rtl w:val="0"/>
        </w:rPr>
        <w:t>No se dispone de información adicional</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Movilidad en el suelo</w:t>
      </w:r>
    </w:p>
    <w:p w:rsidR="00827634" w:rsidRPr="0069446B" w:rsidP="009E5102" w14:paraId="12B9E78C" w14:textId="77777777">
      <w:pPr>
        <w:pStyle w:val="SDSTextNormal"/>
        <w:bidi w:val="0"/>
        <w:rPr>
          <w:rtl w:val="0"/>
        </w:rPr>
      </w:pPr>
      <w:r w:rsidRPr="0069446B">
        <w:rPr>
          <w:rtl w:val="0"/>
        </w:rPr>
        <w:t>No se dispone de información adicional</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Resultados de la valoración PBT y mPmB</w:t>
      </w:r>
    </w:p>
    <w:p w:rsidR="009F53E3" w:rsidRPr="0069446B" w:rsidP="009E5102" w14:paraId="4CF14847" w14:textId="031A2CAD">
      <w:pPr>
        <w:pStyle w:val="SDSTextNormal"/>
        <w:bidi w:val="0"/>
        <w:rPr>
          <w:rtl w:val="0"/>
        </w:rPr>
      </w:pPr>
      <w:r w:rsidRPr="0069446B">
        <w:rPr>
          <w:rtl w:val="0"/>
        </w:rPr>
        <w:t>No se dispone de información adicional</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Propiedades de alteración endocrina</w:t>
      </w:r>
    </w:p>
    <w:p w:rsidR="00124846" w:rsidRPr="0069446B" w:rsidP="00124846" w14:paraId="5181B457" w14:textId="77777777">
      <w:pPr>
        <w:pStyle w:val="SDSTextNormal"/>
        <w:bidi w:val="0"/>
        <w:rPr>
          <w:rtl w:val="0"/>
        </w:rPr>
      </w:pPr>
      <w:bookmarkStart w:id="4" w:name="_Hlk54090163"/>
      <w:r w:rsidRPr="0069446B">
        <w:rPr>
          <w:rtl w:val="0"/>
        </w:rPr>
        <w:t>No se dispone de información adicional</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Otros efectos adversos</w:t>
      </w:r>
    </w:p>
    <w:p w:rsidR="00614B5E" w:rsidRPr="0069446B" w:rsidP="009E5102" w14:paraId="445D1BFC" w14:textId="23B3036C">
      <w:pPr>
        <w:pStyle w:val="SDSTextNormal"/>
        <w:bidi w:val="0"/>
        <w:rPr>
          <w:rtl w:val="0"/>
          <w:lang w:val="fr-BE"/>
        </w:rPr>
      </w:pPr>
      <w:r w:rsidRPr="0069446B">
        <w:rPr>
          <w:rtl w:val="0"/>
          <w:lang w:val="fr-BE"/>
        </w:rPr>
        <w:t>No se dispone de información adicional</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13</w:t>
      </w:r>
      <w:r w:rsidRPr="0069446B">
        <w:rPr>
          <w:noProof w:val="0"/>
          <w:color w:val="auto"/>
          <w:lang w:val="fr-BE"/>
        </w:rPr>
        <w:t xml:space="preserve">: </w:t>
      </w:r>
      <w:r w:rsidRPr="0069446B" w:rsidR="00FA7F7F">
        <w:rPr>
          <w:noProof/>
          <w:color w:val="auto"/>
          <w:lang w:val="fr-BE"/>
        </w:rPr>
        <w:t>Consideraciones relativas a la eliminación</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BD5FB4">
        <w:rPr>
          <w:noProof/>
          <w:color w:val="auto"/>
          <w:lang w:val="fr-BE"/>
        </w:rPr>
        <w:t>Métodos para el tratamiento de residuos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Normativa regional sobre residuos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Eliminar de acuerdo con la normativa oficial.</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Métodos para el tratamiento de residuos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Elimine el contenido/contenedor de acuerdo con las instrucciones de clasificación del recolector autorizado.</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Pr>
                <w:noProof/>
              </w:rPr>
              <w:t>Recomendaciones para la eliminación de las aguas residuales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Eliminar de acuerdo con la normativa oficial.</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Recomendaciones para la eliminación de productos/envases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Respetar la normativa vigente en materia de eliminación de residuos sólidos. Eliminar de acuerdo con la normativa oficial.</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Información adicional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No reutilice los envases vacíos.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Información sobre residuos ecológicos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Los residuos del producto se consideran tan peligrosos como el mismo producto con el potencial de impactar el medio ambiente de la misma manera. Considere el manejo y la eliminación de los residuos tal como lo define el propio producto.</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Código HP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“Ecotóxico”: corresponde a los residuos que presentan o pueden presentar riesgos inmediatos o diferidos para uno o más compartimentos del medio ambiente.</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14</w:t>
      </w:r>
      <w:r w:rsidRPr="0069446B">
        <w:rPr>
          <w:noProof w:val="0"/>
          <w:color w:val="auto"/>
          <w:lang w:val="en-US"/>
        </w:rPr>
        <w:t xml:space="preserve">: </w:t>
      </w:r>
      <w:r w:rsidRPr="0069446B" w:rsidR="00FA7F7F">
        <w:rPr>
          <w:noProof/>
          <w:color w:val="auto"/>
          <w:lang w:val="en-US"/>
        </w:rPr>
        <w:t>Información relativa al transporte</w:t>
      </w:r>
    </w:p>
    <w:p w:rsidR="00E5555B" w:rsidRPr="0069446B" w:rsidP="00E5555B" w14:paraId="012898EF" w14:textId="65A15EC3">
      <w:pPr>
        <w:pStyle w:val="SDSTextNormal"/>
      </w:pPr>
      <w:r>
        <w:rPr>
          <w:noProof/>
        </w:rPr>
        <w:t>En conformidad con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Número ONU o número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 aplicable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Pr>
                <w:noProof/>
                <w:color w:val="auto"/>
              </w:rPr>
              <w:t>Designación oficial de transporte de las Naciones Unidas</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 aplicable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Clase(s) de peligro para el transporte</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 aplicable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Grupo de embalaje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 aplicable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Peligros para el medio ambiente</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 aplicable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No se dispone de información adicional</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Precauciones particulares para los usuarios</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Transporte por vía terrestre</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 aplicable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Transporte marítimo</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 aplicable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Transporte aéreo</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 aplicable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Transporte por vía fluvial</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 aplicable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Transporte ferroviario</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 aplicable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Transporte marítimo a granel con arreglo a los instrumentos de la OMI</w:t>
      </w:r>
    </w:p>
    <w:p w:rsidR="00E5555B" w:rsidRPr="0069446B" w:rsidP="00E5555B" w14:paraId="13896D54" w14:textId="77777777">
      <w:pPr>
        <w:pStyle w:val="SDSTextNormal"/>
        <w:bidi w:val="0"/>
        <w:rPr>
          <w:rtl w:val="0"/>
          <w:lang w:val="fr-BE"/>
        </w:rPr>
      </w:pPr>
      <w:r w:rsidRPr="0069446B">
        <w:rPr>
          <w:rtl w:val="0"/>
          <w:lang w:val="fr-BE"/>
        </w:rPr>
        <w:t>No aplicable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15</w:t>
      </w:r>
      <w:r w:rsidRPr="0069446B">
        <w:rPr>
          <w:noProof w:val="0"/>
          <w:color w:val="auto"/>
          <w:lang w:val="fr-BE"/>
        </w:rPr>
        <w:t xml:space="preserve">: </w:t>
      </w:r>
      <w:r w:rsidRPr="0069446B" w:rsidR="00FA7F7F">
        <w:rPr>
          <w:noProof/>
          <w:color w:val="auto"/>
          <w:lang w:val="fr-BE"/>
        </w:rPr>
        <w:t>Información reglamentaria</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Reglamentación y legislación en materia de seguridad, salud y medio ambiente específicas para la sustancia o la mezcla</w:t>
      </w:r>
    </w:p>
    <w:p w:rsidR="00942DB5" w:rsidRPr="0069446B" w:rsidP="00942DB5" w14:paraId="169B3F9C" w14:textId="4CA8ED00">
      <w:pPr>
        <w:pStyle w:val="SDSTextHeading3"/>
        <w:rPr>
          <w:noProof w:val="0"/>
          <w:color w:val="auto"/>
          <w:lang w:val="fr-BE"/>
        </w:rPr>
      </w:pPr>
      <w:r w:rsidRPr="0069446B" w:rsidR="00FA7F7F">
        <w:rPr>
          <w:noProof/>
          <w:color w:val="auto"/>
          <w:lang w:val="fr-BE"/>
        </w:rPr>
        <w:t>Normativa de la UE</w:t>
      </w:r>
    </w:p>
    <w:p w:rsidR="00A65092" w:rsidRPr="0069446B" w:rsidP="00A65092" w14:paraId="0D6FA641" w14:textId="436F5BD4">
      <w:pPr>
        <w:pStyle w:val="SDSTextHeading4"/>
        <w:rPr>
          <w:color w:val="auto"/>
        </w:rPr>
      </w:pPr>
      <w:r w:rsidRPr="0069446B">
        <w:rPr>
          <w:noProof/>
          <w:color w:val="auto"/>
        </w:rPr>
        <w:t>Anexo XVII de REACH (Lista de restricciones)</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Lista de restricciones de la UE (Anexo XVII del reglamento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Código de referencia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Aplicable en</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Título o descripción de la entrada</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[1S-(1α,3aβ,4α,8aβ)]-decahydro-4,8,8-trimethyl-9-methylene-1,4-methanoazulene ; 2,6-di-tert-butyl-p-cresol ; alpha-iso-methylionone ; [3R-(3α,3aβ,6α,7β,8aα)]-octahydro-3,6,8,8-tetramethyl-1H-3a,7-methanoazulen-5-yl acetate ; acetyl cedrene ; d-limonene ; 3-(5,5,6-trimethylbicyclo[2.2.1]hept-2-yl)cyclohexan-1-ol ; isocamphenyl cyclohexanol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 de peligro 4.1</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sidR="00FA7F7F">
              <w:rPr>
                <w:noProof/>
              </w:rPr>
              <w:t>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Clases de peligro 2.1 a 2.4, 2.6 y 2.7, 2.8 tipos A y B, 2.9, 2.10, 2.12, 2.13 categorías 1 y 2, 2.14 categorías 1 y 2, 2.15 tipos A a F</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[1S-(1α,3aβ,4α,8aβ)]-decahydro-4,8,8-trimethyl-9-methylene-1,4-methanoazulene ; alpha-iso-methylionone ; [3R-(3α,3aβ,6α,7β,8aα)]-octahydro-3,6,8,8-tetramethyl-1H-3a,7-methanoazulen-5-yl acetate ; acetyl cedrene ; 7-hydroxycitronellal ; citronellol ; geraniol ; linalyl acetate ; nerol ; citral ; linalool ; d-limonene ; 3-(5,5,6-trimethylbicyclo[2.2.1]hept-2-yl)cyclohexan-1-ol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Clases de peligro 3.1 a 3.6, 3.7 efectos adversos sobre la función sexual y la fertilidad o sobre el desarrollo, 3.8 efectos distintos de los narcóticos, 3.9 y 3.10</w:t>
            </w:r>
          </w:p>
        </w:tc>
      </w:tr>
    </w:tbl>
    <w:p w:rsidR="00A65092" w:rsidRPr="0069446B" w:rsidP="00A65092" w14:paraId="3F08C463" w14:textId="0E953437">
      <w:pPr>
        <w:pStyle w:val="SDSTextHeading4"/>
        <w:rPr>
          <w:color w:val="auto"/>
        </w:rPr>
      </w:pPr>
      <w:r w:rsidRPr="0069446B">
        <w:rPr>
          <w:noProof/>
          <w:color w:val="auto"/>
        </w:rPr>
        <w:t>Anexo XIV de REACH (lista de autorizaciones)</w:t>
      </w:r>
    </w:p>
    <w:p w:rsidR="00A65092" w:rsidRPr="0069446B" w:rsidP="00A65092" w14:paraId="75C2C0BE" w14:textId="236220C1">
      <w:pPr>
        <w:pStyle w:val="SDSTextNormal"/>
      </w:pPr>
      <w:r>
        <w:rPr>
          <w:noProof/>
        </w:rPr>
        <w:t>No contiene ninguna sustancia incluida en el Anexo XIV de REACH (Lista de autorizaciones)</w:t>
      </w:r>
    </w:p>
    <w:p w:rsidR="00A65092" w:rsidRPr="0069446B" w:rsidP="00A65092" w14:paraId="2888B0EB" w14:textId="43FD92C9">
      <w:pPr>
        <w:pStyle w:val="SDSTextHeading4"/>
        <w:rPr>
          <w:color w:val="auto"/>
        </w:rPr>
      </w:pPr>
      <w:r w:rsidRPr="0069446B">
        <w:rPr>
          <w:noProof/>
          <w:color w:val="auto"/>
        </w:rPr>
        <w:t>Lista de sustancias candidatas extremadamente preocupantes (SVHC) de REACH</w:t>
      </w:r>
    </w:p>
    <w:p w:rsidR="00A65092" w:rsidRPr="0069446B" w:rsidP="00A65092" w14:paraId="05DFD9AD" w14:textId="574B4A93">
      <w:pPr>
        <w:pStyle w:val="SDSTextNormal"/>
        <w:rPr>
          <w:highlight w:val="yellow"/>
        </w:rPr>
      </w:pPr>
      <w:r>
        <w:rPr>
          <w:noProof/>
        </w:rPr>
        <w:t>No contiene ninguna sustancia incluida en la lista de sustancias candidatas de REACH</w:t>
      </w:r>
    </w:p>
    <w:p w:rsidR="00A65092" w:rsidRPr="0069446B" w:rsidP="00A65092" w14:paraId="7895FCD1" w14:textId="5F527CE4">
      <w:pPr>
        <w:pStyle w:val="SDSTextHeading4"/>
        <w:rPr>
          <w:color w:val="auto"/>
        </w:rPr>
      </w:pPr>
      <w:r w:rsidRPr="0069446B">
        <w:rPr>
          <w:noProof/>
          <w:color w:val="auto"/>
        </w:rPr>
        <w:t>Regulación PIC (consentimiento fundamentado previo)</w:t>
      </w:r>
    </w:p>
    <w:p w:rsidR="00A65092" w:rsidRPr="0069446B" w:rsidP="00A65092" w14:paraId="5CD6AD0D" w14:textId="533A3F82">
      <w:pPr>
        <w:pStyle w:val="SDSTextNormal"/>
      </w:pPr>
      <w:r>
        <w:rPr>
          <w:noProof/>
        </w:rPr>
        <w:t>No contiene sustancia(s) listada(s) en la lista PIC (Reglamento UE 649/2012 sobre las exportaciones e importaciones de productos químicos peligrosos)</w:t>
      </w:r>
    </w:p>
    <w:p w:rsidR="00A65092" w:rsidRPr="0069446B" w:rsidP="00A65092" w14:paraId="19F135E1" w14:textId="40378342">
      <w:pPr>
        <w:pStyle w:val="SDSTextHeading4"/>
        <w:rPr>
          <w:color w:val="auto"/>
        </w:rPr>
      </w:pPr>
      <w:r w:rsidRPr="0069446B">
        <w:rPr>
          <w:noProof/>
          <w:color w:val="auto"/>
        </w:rPr>
        <w:t>Reglamento COP (Contaminantes orgánicos persistentes)</w:t>
      </w:r>
    </w:p>
    <w:p w:rsidR="00A65092" w:rsidRPr="0069446B" w:rsidP="00A65092" w14:paraId="5658C7B9" w14:textId="79E36D98">
      <w:pPr>
        <w:pStyle w:val="SDSTextNormal"/>
      </w:pPr>
      <w:r>
        <w:rPr>
          <w:noProof/>
        </w:rPr>
        <w:t>No contiene sustancia(s) listada(s) en la lista de POP (reglamento UE 2019/1021 sobre los contaminantes orgánicos persistentes)</w:t>
      </w:r>
    </w:p>
    <w:p w:rsidR="00A65092" w:rsidRPr="0069446B" w:rsidP="00A65092" w14:paraId="4F095AD9" w14:textId="285E594C">
      <w:pPr>
        <w:pStyle w:val="SDSTextHeading4"/>
        <w:rPr>
          <w:color w:val="auto"/>
        </w:rPr>
      </w:pPr>
      <w:r w:rsidRPr="0069446B">
        <w:rPr>
          <w:noProof/>
          <w:color w:val="auto"/>
        </w:rPr>
        <w:t>Reglamento sobre el ozono (2024/590)</w:t>
      </w:r>
    </w:p>
    <w:p w:rsidR="00A65092" w:rsidRPr="0069446B" w:rsidP="00A65092" w14:paraId="5473303B" w14:textId="22C06933">
      <w:pPr>
        <w:pStyle w:val="SDSTextNormal"/>
      </w:pPr>
      <w:r w:rsidRPr="0069446B">
        <w:rPr>
          <w:noProof/>
        </w:rPr>
        <w:t>No incluida en la lista de sustancias que agotan la capa de ozono (Reglamento UE 2024/590)</w:t>
      </w:r>
    </w:p>
    <w:p w:rsidR="00A65092" w:rsidRPr="0069446B" w:rsidP="00A65092" w14:paraId="620E25B1" w14:textId="0B3DF7C7">
      <w:pPr>
        <w:pStyle w:val="SDSTextNormal"/>
      </w:pPr>
      <w:r w:rsidRPr="0069446B">
        <w:rPr>
          <w:noProof/>
        </w:rPr>
        <w:t>No contiene ninguna sustancia incluida en la lista de sustancias que agotan la capa de ozono (Reglamento UE 2024/590 sobre sustancias que agotan la capa de ozono)</w:t>
      </w:r>
    </w:p>
    <w:p w:rsidR="005C6D3A" w:rsidRPr="0069446B" w:rsidP="005C6D3A" w14:paraId="4537F7C0" w14:textId="23559C0D">
      <w:pPr>
        <w:pStyle w:val="SDSTextHeading4"/>
        <w:rPr>
          <w:color w:val="auto"/>
        </w:rPr>
      </w:pPr>
      <w:r w:rsidRPr="0069446B">
        <w:rPr>
          <w:noProof/>
          <w:color w:val="auto"/>
        </w:rPr>
        <w:t>Reglamento (CE) del Consejo para el control de productos de doble uso</w:t>
      </w:r>
    </w:p>
    <w:p w:rsidR="005C6D3A" w:rsidRPr="0069446B" w:rsidP="00A65092" w14:paraId="46F2E03E" w14:textId="36FDD292">
      <w:pPr>
        <w:pStyle w:val="SDSTextNormal"/>
      </w:pPr>
      <w:r w:rsidRPr="0069446B">
        <w:rPr>
          <w:noProof/>
        </w:rPr>
        <w:t>No contiene ninguna sustancia sujeta al REGLAMENTO (CE) DEL CONSEJO relativo al control de bienes de doble uso</w:t>
      </w:r>
    </w:p>
    <w:p w:rsidR="00A65092" w:rsidRPr="0069446B" w:rsidP="00A65092" w14:paraId="1F6D8150" w14:textId="6CC4A049">
      <w:pPr>
        <w:pStyle w:val="SDSTextHeading4"/>
        <w:rPr>
          <w:color w:val="auto"/>
        </w:rPr>
      </w:pPr>
      <w:r w:rsidRPr="0069446B">
        <w:rPr>
          <w:noProof/>
          <w:color w:val="auto"/>
        </w:rPr>
        <w:t>Reglamento sobre los precursores de explosivo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No contiene ninguna sustancia incluida en la lista de precursores de explosivos (Reglamento UE 2019/1148 sobre la comercialización y la utilización de precursores de explosivos)</w:t>
            </w:r>
          </w:p>
        </w:tc>
      </w:tr>
    </w:tbl>
    <w:p w:rsidR="00A65092" w:rsidRPr="0069446B" w:rsidP="00A65092" w14:paraId="7F542A65" w14:textId="120EEC4F">
      <w:pPr>
        <w:pStyle w:val="SDSTextHeading4"/>
        <w:rPr>
          <w:color w:val="auto"/>
        </w:rPr>
      </w:pPr>
      <w:r w:rsidRPr="0069446B">
        <w:rPr>
          <w:noProof/>
          <w:color w:val="auto"/>
        </w:rPr>
        <w:t>Reglamento sobre precursores de drogas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Contiene una o varias sustancias incluidas en la lista de precursores de drogas (Reglamento CE 273/2004 relativa a la fabricación y puesta en el mercado de determinadas sustancias utilizadas para la fabricación ilícita de estupefacientes y sustancias psicotrópicas)</w:t>
            </w:r>
          </w:p>
        </w:tc>
      </w:tr>
    </w:tbl>
    <w:tbl>
      <w:tblPr>
        <w:tblStyle w:val="SDSTableWithBordersWithHeaderRow"/>
        <w:tblW w:w="10490" w:type="dxa"/>
        <w:tblLayout w:type="fixed"/>
        <w:tblLook w:val="04A0"/>
      </w:tblPr>
      <w:tblGrid>
        <w:gridCol w:w="2267"/>
        <w:gridCol w:w="1275"/>
        <w:gridCol w:w="1276"/>
        <w:gridCol w:w="1418"/>
        <w:gridCol w:w="1418"/>
        <w:gridCol w:w="1418"/>
        <w:gridCol w:w="1418"/>
      </w:tblGrid>
      <w:tr w14:paraId="0B83201E" w14:textId="77777777" w:rsidTr="005C557D">
        <w:tblPrEx>
          <w:tblW w:w="10490" w:type="dxa"/>
          <w:tblLayout w:type="fixed"/>
          <w:tblLook w:val="04A0"/>
        </w:tblPrEx>
        <w:trPr>
          <w:tblHeader/>
        </w:trPr>
        <w:tc>
          <w:tcPr>
            <w:tcW w:w="226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0D104D90" w14:textId="15A02BD9">
            <w:pPr>
              <w:pStyle w:val="SDSTableTextHeading1"/>
              <w:rPr>
                <w:noProof w:val="0"/>
                <w:color w:val="auto"/>
              </w:rPr>
            </w:pPr>
            <w:r w:rsidRPr="0069446B" w:rsidR="00FA7F7F">
              <w:rPr>
                <w:noProof/>
                <w:color w:val="auto"/>
              </w:rPr>
              <w:t>Nombre</w:t>
            </w:r>
          </w:p>
        </w:tc>
        <w:tc>
          <w:tcPr>
            <w:tcW w:w="127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57C5252" w14:textId="5225E603">
            <w:pPr>
              <w:pStyle w:val="SDSTableTextHeading1"/>
              <w:rPr>
                <w:noProof w:val="0"/>
                <w:color w:val="auto"/>
              </w:rPr>
            </w:pPr>
            <w:r w:rsidRPr="0069446B" w:rsidR="00FA7F7F">
              <w:rPr>
                <w:noProof/>
                <w:color w:val="auto"/>
              </w:rPr>
              <w:t>Denominación NC</w:t>
            </w:r>
          </w:p>
        </w:tc>
        <w:tc>
          <w:tcPr>
            <w:tcW w:w="127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D6EF8CB" w14:textId="6606C847">
            <w:pPr>
              <w:pStyle w:val="SDSTableTextHeading1"/>
              <w:rPr>
                <w:noProof w:val="0"/>
                <w:color w:val="auto"/>
              </w:rPr>
            </w:pPr>
            <w:r w:rsidRPr="0069446B" w:rsidR="00FA7F7F">
              <w:rPr>
                <w:noProof/>
                <w:color w:val="auto"/>
              </w:rPr>
              <w:t>N° CAS</w:t>
            </w: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54B57E4" w14:textId="78E35A93">
            <w:pPr>
              <w:pStyle w:val="SDSTableTextHeading1"/>
              <w:rPr>
                <w:noProof w:val="0"/>
                <w:color w:val="auto"/>
              </w:rPr>
            </w:pPr>
            <w:r w:rsidRPr="0069446B" w:rsidR="00FA7F7F">
              <w:rPr>
                <w:noProof/>
                <w:color w:val="auto"/>
              </w:rPr>
              <w:t>Código CN</w:t>
            </w: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96366" w:rsidRPr="0069446B" w:rsidP="00E96366" w14:paraId="53D256F7" w14:textId="6CCA77A9">
            <w:pPr>
              <w:pStyle w:val="SDSTableTextHeading1"/>
              <w:rPr>
                <w:noProof w:val="0"/>
                <w:color w:val="auto"/>
              </w:rPr>
            </w:pPr>
            <w:r w:rsidRPr="0069446B" w:rsidR="00FA7F7F">
              <w:rPr>
                <w:noProof/>
                <w:color w:val="auto"/>
              </w:rPr>
              <w:t>Categoría,</w:t>
            </w:r>
          </w:p>
          <w:p w:rsidR="00A65092" w:rsidRPr="0069446B" w:rsidP="00E96366" w14:paraId="26779EFF" w14:textId="63E11907">
            <w:pPr>
              <w:pStyle w:val="SDSTableTextHeading1"/>
              <w:rPr>
                <w:noProof w:val="0"/>
                <w:color w:val="auto"/>
              </w:rPr>
            </w:pPr>
            <w:r w:rsidRPr="0069446B" w:rsidR="00FA7F7F">
              <w:rPr>
                <w:noProof/>
                <w:color w:val="auto"/>
              </w:rPr>
              <w:t>Subcategoría</w:t>
            </w: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61B55F5" w14:textId="24B2F796">
            <w:pPr>
              <w:pStyle w:val="SDSTableTextHeading1"/>
              <w:rPr>
                <w:noProof w:val="0"/>
                <w:color w:val="auto"/>
              </w:rPr>
            </w:pPr>
            <w:r w:rsidRPr="0069446B" w:rsidR="00FA7F7F">
              <w:rPr>
                <w:noProof/>
                <w:color w:val="auto"/>
              </w:rPr>
              <w:t>Umbral</w:t>
            </w: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1BD701E" w14:textId="65E28E50">
            <w:pPr>
              <w:pStyle w:val="SDSTableTextHeading1"/>
              <w:rPr>
                <w:noProof w:val="0"/>
                <w:color w:val="auto"/>
              </w:rPr>
            </w:pPr>
            <w:r w:rsidRPr="0069446B" w:rsidR="00FA7F7F">
              <w:rPr>
                <w:noProof/>
                <w:color w:val="auto"/>
              </w:rPr>
              <w:t>Anexo</w:t>
            </w:r>
          </w:p>
        </w:tc>
      </w:tr>
      <w:tr w14:paraId="23D538E0" w14:textId="77777777" w:rsidTr="005C557D">
        <w:tblPrEx>
          <w:tblW w:w="10490" w:type="dxa"/>
          <w:tblLayout w:type="fixed"/>
          <w:tblLook w:val="04A0"/>
        </w:tblPrEx>
        <w:tc>
          <w:tcPr>
            <w:tcW w:w="226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073E40F" w14:textId="559D260D">
            <w:pPr>
              <w:pStyle w:val="SDSTableTextNormal"/>
              <w:rPr>
                <w:noProof w:val="0"/>
              </w:rPr>
            </w:pPr>
            <w:r w:rsidRPr="0069446B" w:rsidR="00FA7F7F">
              <w:rPr>
                <w:noProof/>
              </w:rPr>
              <w:t>Piperonal</w:t>
            </w:r>
          </w:p>
        </w:tc>
        <w:tc>
          <w:tcPr>
            <w:tcW w:w="127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900E007" w14:textId="26A7BDBB">
            <w:pPr>
              <w:pStyle w:val="SDSTableTextNormal"/>
              <w:rPr>
                <w:noProof w:val="0"/>
              </w:rPr>
            </w:pPr>
          </w:p>
        </w:tc>
        <w:tc>
          <w:tcPr>
            <w:tcW w:w="127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19F3871" w14:textId="44E22305">
            <w:pPr>
              <w:pStyle w:val="SDSTableTextNormal"/>
              <w:rPr>
                <w:noProof w:val="0"/>
              </w:rPr>
            </w:pPr>
            <w:r w:rsidRPr="0069446B" w:rsidR="00FA7F7F">
              <w:rPr>
                <w:noProof/>
              </w:rPr>
              <w:t>120-57-0</w:t>
            </w: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04454755" w14:textId="57B7AB29">
            <w:pPr>
              <w:pStyle w:val="SDSTableTextNormal"/>
              <w:rPr>
                <w:noProof w:val="0"/>
              </w:rPr>
            </w:pPr>
            <w:r w:rsidRPr="0069446B" w:rsidR="00FA7F7F">
              <w:rPr>
                <w:noProof/>
              </w:rPr>
              <w:t>2932 93 00</w:t>
            </w: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0CE3A27" w14:textId="126BB867">
            <w:pPr>
              <w:pStyle w:val="SDSTableTextNormal"/>
              <w:rPr>
                <w:noProof w:val="0"/>
              </w:rPr>
            </w:pPr>
            <w:r w:rsidRPr="0069446B" w:rsidR="00FA7F7F">
              <w:rPr>
                <w:noProof/>
              </w:rPr>
              <w:t>Categoría 1</w:t>
            </w: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99E5CD" w14:textId="1DED112B">
            <w:pPr>
              <w:pStyle w:val="SDSTableTextNormal"/>
              <w:rPr>
                <w:noProof w:val="0"/>
              </w:rPr>
            </w:pP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511B839" w14:textId="55BB0BAA">
            <w:pPr>
              <w:pStyle w:val="SDSTableTextNormal"/>
              <w:rPr>
                <w:noProof w:val="0"/>
              </w:rPr>
            </w:pPr>
            <w:r w:rsidRPr="0069446B" w:rsidR="00FA7F7F">
              <w:rPr>
                <w:noProof/>
              </w:rPr>
              <w:t>Anexo I</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Normativas nacionales</w:t>
      </w:r>
    </w:p>
    <w:tbl>
      <w:tblPr>
        <w:tblStyle w:val="SDSTableWithoutBorders"/>
        <w:tblW w:w="10491" w:type="dxa"/>
        <w:tblLayout w:type="fixed"/>
        <w:tblLook w:val="04A0"/>
      </w:tblPr>
      <w:tblGrid>
        <w:gridCol w:w="3686"/>
        <w:gridCol w:w="284"/>
        <w:gridCol w:w="6521"/>
      </w:tblGrid>
      <w:tr w14:paraId="29098C0B"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13108" w:rsidRPr="0069446B" w:rsidP="00F13108" w14:paraId="372F34CE" w14:textId="39C064A2">
            <w:pPr>
              <w:pStyle w:val="SDSTextHeading4"/>
              <w:rPr>
                <w:color w:val="auto"/>
              </w:rPr>
            </w:pPr>
            <w:r w:rsidRPr="0069446B">
              <w:rPr>
                <w:color w:val="auto"/>
              </w:rPr>
              <w:t>España</w:t>
            </w:r>
          </w:p>
        </w:tc>
      </w:tr>
      <w:tr w14:paraId="4BC8880C"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13108" w:rsidRPr="0069446B" w:rsidP="00F13108" w14:paraId="269C122B" w14:textId="30408B2B">
            <w:pPr>
              <w:pStyle w:val="SDSTableTextNormal"/>
              <w:rPr>
                <w:noProof w:val="0"/>
              </w:rPr>
            </w:pPr>
            <w:r w:rsidRPr="0069446B">
              <w:rPr>
                <w:noProof/>
              </w:rPr>
              <w:t>Real Decreto 665/1997</w:t>
            </w:r>
          </w:p>
        </w:tc>
        <w:tc>
          <w:tcPr>
            <w:tcW w:w="284" w:type="dxa"/>
            <w:tcBorders>
              <w:top w:val="none" w:sz="0" w:space="0" w:color="000000"/>
              <w:left w:val="none" w:sz="0" w:space="0" w:color="000000"/>
              <w:bottom w:val="none" w:sz="0" w:space="0" w:color="000000"/>
              <w:right w:val="none" w:sz="0" w:space="0" w:color="000000"/>
            </w:tcBorders>
          </w:tcPr>
          <w:p w:rsidR="00F13108" w:rsidRPr="0069446B" w:rsidP="00F13108" w14:paraId="4C71CAD2" w14:textId="3727CEBB">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13108" w:rsidRPr="0069446B" w:rsidP="00F13108" w14:paraId="447EB3E7" w14:textId="6A2A8A83">
            <w:pPr>
              <w:pStyle w:val="SDSTableTextNormal"/>
              <w:rPr>
                <w:noProof w:val="0"/>
              </w:rPr>
            </w:pPr>
            <w:r w:rsidRPr="0069446B">
              <w:rPr>
                <w:noProof/>
              </w:rPr>
              <w:t>No está sujeto al Real Decreto 665/1997</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Evaluación de la seguridad química</w:t>
      </w:r>
    </w:p>
    <w:p w:rsidR="00A65092" w:rsidRPr="0069446B" w:rsidP="00A65092" w14:paraId="6382E682" w14:textId="0AC1EDD8">
      <w:pPr>
        <w:pStyle w:val="SDSTextNormal"/>
      </w:pPr>
      <w:r>
        <w:rPr>
          <w:noProof/>
        </w:rPr>
        <w:t>No se ha realizado ninguna evaluación de la seguridad química</w:t>
      </w:r>
    </w:p>
    <w:p w:rsidR="00827634" w:rsidRPr="0069446B" w:rsidP="00E62D88" w14:paraId="5E6E23FA" w14:textId="39F17614">
      <w:pPr>
        <w:pStyle w:val="SDSTextHeading1"/>
        <w:rPr>
          <w:noProof w:val="0"/>
          <w:color w:val="auto"/>
          <w:lang w:val="fr-BE"/>
        </w:rPr>
      </w:pPr>
      <w:r w:rsidRPr="0069446B" w:rsidR="00FA7F7F">
        <w:rPr>
          <w:noProof/>
          <w:color w:val="auto"/>
          <w:lang w:val="fr-BE"/>
        </w:rPr>
        <w:t>SECCIÓN 16</w:t>
      </w:r>
      <w:r w:rsidRPr="0069446B">
        <w:rPr>
          <w:noProof w:val="0"/>
          <w:color w:val="auto"/>
          <w:lang w:val="fr-BE"/>
        </w:rPr>
        <w:t xml:space="preserve">: </w:t>
      </w:r>
      <w:r w:rsidRPr="0069446B" w:rsidR="00FA7F7F">
        <w:rPr>
          <w:noProof/>
          <w:color w:val="auto"/>
          <w:lang w:val="fr-BE"/>
        </w:rPr>
        <w:t>Otra información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Abreviaturas y acrónimos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Asociación Estadounidense de Higienistas Industriales, EE. UU.</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Acuerdo Europeo sobre el Transporte Internacional de Mercancías Peligrosas por Vías Navegables Interiores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Acuerdo Europeo sobre el Transporte Internacional de Mercancías Peligrosas por Carretera</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Estimación de Toxicidad Aguda</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FBC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Factor de bioconcentración</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Valor límite biológico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DBO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bioquímica de oxígeno (DBO)</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Número del Servicio de Resúmenes Químicos</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Reglamento sobre clasificación, etiquetado y envasado; Reglamento (CE) n.º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DCB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química de oxígeno (DQO)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Evaluación de la seguridad química</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mínimo de efecto derivado</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sin efecto derivado</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Número de la Comunidad Europea</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Concentración efectiva mediana</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Disruptor endocrino</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Norma Europea</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Catálogo europeo de residuos</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CIIC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Agencia Internacional para la Investigación del Cáncer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Asociación Internacional de Transporte Aéreo</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Mercancías Peligrosas Marítimas Internacionales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Concentración letal mediana</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Dosis letal mediana</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Más Bajo de Efecto Adverso Observado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Coeficiente de partición n-octanol/agua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Coeficiente de partición n-octanol/agua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máxima en el lugar de trabajo</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sin efecto adverso observado</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sin efectos adversos observados</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sin efecto observado</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N.E.P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 especificado de otra manera</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OCDE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Organización para la Cooperación y el Desarrollo Económicos</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Límite de Exposición Ocupacional</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Agencia Federal de Higiene y Seguridad Profesional del Departamento de Trabajo de los Estados Unidos</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Tóxico Persistente Bioacumulativo</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prevista sin efecto</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Equipos de protección personal</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Reglamento sobre el transporte internacional de mercancías peligrosas por ferrocarril</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Ficha de Datos de Seguridad</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Planta de tratamiento de aguas residuales</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Función técnica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DTO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teórica de oxígeno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Límite de Tolerancia Mediana</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media ponderada en el tiempo</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Compuestos Orgánicos Volátiles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mPmB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Muy Persistente y Muy Bioacumulable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Identificador único de fórmula</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Texto íntegro de las frases H y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Toxicidad aguda (oral), categoría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agudo, categoría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crónico, categoría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crónico, categoría 2</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crónico, categoría 3</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 por aspiración, categoría 1</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Lesiones oculares graves o irritación ocular, categoría 1</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Lesiones oculares graves/irritación ocular, categoría 2</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Líquidos inflamables, categoría 3</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Repr.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Toxicidad para la reproducción, categoría 2</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Corrosivo/irritante para la piel, categoría 2</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Sensibilización cutánea, categoría 1</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Sensibilización cutánea, categoría 1B</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Líquido y vapores inflamables.</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en caso de ingestión.</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Puede ser mortal en caso de ingestión y de penetración en las vías respiratorias.</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irritación cutánea.</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Puede provocar una alergia cutánea.</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lesiones oculares graves.</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una irritación ocular grave.</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H361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 sospecha que puede perjudicar la fertilidad o dañar el feto.</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Muy tóxico para los organismos acuáticos.</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Muy tóxico para los organismos acuáticos, provoca efectos nocivos a largo plazo.</w:t>
            </w:r>
          </w:p>
        </w:tc>
      </w:tr>
      <w:tr w14:paraId="63F052E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Tóxico para los organismos acuáticos, con efectos duraderos.</w:t>
            </w:r>
          </w:p>
        </w:tc>
      </w:tr>
      <w:tr w14:paraId="63F052E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para los organismos acuáticos, provoca efectos adversos a largo plazo.</w:t>
            </w:r>
          </w:p>
        </w:tc>
      </w:tr>
      <w:tr w14:paraId="63F052E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Contiene METHYL IONONES, CEDRYL ACETATE, ACETYL CEDRENE, HYDROXYCITRONELLAL, CITRONELLOL, coumarin, GERANIOL, linalyl acetate, NEROL, HELIOTROPINE, linalool. Puede producir una reacción alérgica.</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Clasificación y procedimiento utilizados para determinar la clasificación de las mezclas de conformidad con el Reglamento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Método de cálculo</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Esta información se basa en nuestro conocimiento actual y tiene como finalidad describir el producto para la tutela de la salud, seguridad y medio ambiente. Por lo tanto, no debe ser interpretada como garantía de ninguna característica específica del producto.</w:t>
      </w:r>
    </w:p>
    <w:p w:rsidR="0087645C" w:rsidRPr="0069446B" w:rsidP="009E5102" w14:paraId="2336305A" w14:textId="4740A388">
      <w:pPr>
        <w:pStyle w:val="SDSTextNormal"/>
      </w:pPr>
    </w:p>
    <w:sectPr w:rsidSect="00A37853">
      <w:headerReference w:type="even" r:id="rId6"/>
      <w:headerReference w:type="default" r:id="rId7"/>
      <w:footerReference w:type="even" r:id="rId8"/>
      <w:footerReference w:type="default" r:id="rId9"/>
      <w:headerReference w:type="first" r:id="rId10"/>
      <w:footerReference w:type="first" r:id="rId11"/>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09/10/2026 (Fecha de emisión)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ES - es</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19</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19</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09/10/2026 (Fecha de emisión)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ES - es</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19</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Vela de orchidée blanche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Ficha de Datos de Seguridad</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según el Reglamento REACH (CE) 1907/2006 modificado por el Reglamento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Vela de orchidée blanche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Ficha de Datos de Seguridad</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según el Reglamento REACH (CE) 1907/2006 modificado por el Reglamento (EU) 2020/878</w:t>
          </w:r>
        </w:p>
        <w:p w:rsidR="009C6C12" w:rsidRPr="008F5B08" w:rsidP="00FD6B1D" w14:paraId="512A27C2" w14:textId="1FF61BD5">
          <w:pPr>
            <w:pStyle w:val="SDSTableTextHeader"/>
          </w:pPr>
          <w:r>
            <w:rPr>
              <w:noProof/>
            </w:rPr>
            <w:t>Fecha de emisión: 09/10/2026   Versión: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styles" Target="styles.xml"/><Relationship Id="rId8" Type="http://schemas.openxmlformats.org/officeDocument/2006/relationships/footer" Target="footer1.xml"/><Relationship Id="rId3" Type="http://schemas.openxmlformats.org/officeDocument/2006/relationships/fontTable" Target="fontTable.xml"/><Relationship Id="rId12" Type="http://schemas.openxmlformats.org/officeDocument/2006/relationships/theme" Target="theme/theme1.xml"/><Relationship Id="rId7" Type="http://schemas.openxmlformats.org/officeDocument/2006/relationships/header" Target="header2.xml"/><Relationship Id="rId2" Type="http://schemas.openxmlformats.org/officeDocument/2006/relationships/webSettings" Target="webSettings.xml"/><Relationship Id="rId16" Type="http://schemas.openxmlformats.org/officeDocument/2006/relationships/customXml" Target="../customXml/item4.xml"/><Relationship Id="rId1" Type="http://schemas.openxmlformats.org/officeDocument/2006/relationships/settings" Target="settings.xml"/><Relationship Id="rId11" Type="http://schemas.openxmlformats.org/officeDocument/2006/relationships/footer" Target="footer3.xml"/><Relationship Id="rId6" Type="http://schemas.openxmlformats.org/officeDocument/2006/relationships/header" Target="header1.xml"/><Relationship Id="rId5" Type="http://schemas.openxmlformats.org/officeDocument/2006/relationships/hyperlink" Target="mailto: office@labsys.fr" TargetMode="External"/><Relationship Id="rId15" Type="http://schemas.openxmlformats.org/officeDocument/2006/relationships/customXml" Target="../customXml/item3.xml"/><Relationship Id="rId10" Type="http://schemas.openxmlformats.org/officeDocument/2006/relationships/header" Target="header3.xml"/><Relationship Id="rId4" Type="http://schemas.openxmlformats.org/officeDocument/2006/relationships/customXml" Target="../customXml/item1.xml"/><Relationship Id="rId9" Type="http://schemas.openxmlformats.org/officeDocument/2006/relationships/footer" Target="footer2.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706BDA78-51AB-4ABA-99B1-FB772186B30D}"/>
</file>

<file path=customXml/itemProps3.xml><?xml version="1.0" encoding="utf-8"?>
<ds:datastoreItem xmlns:ds="http://schemas.openxmlformats.org/officeDocument/2006/customXml" ds:itemID="{9250E090-AF63-4741-A5C1-AD5003D10C57}"/>
</file>

<file path=customXml/itemProps4.xml><?xml version="1.0" encoding="utf-8"?>
<ds:datastoreItem xmlns:ds="http://schemas.openxmlformats.org/officeDocument/2006/customXml" ds:itemID="{8A184EE2-A690-43E8-8B65-18255C1CFF69}"/>
</file>

<file path=docProps/app.xml><?xml version="1.0" encoding="utf-8"?>
<Properties xmlns="http://schemas.openxmlformats.org/officeDocument/2006/extended-properties" xmlns:vt="http://schemas.openxmlformats.org/officeDocument/2006/docPropsVTypes">
  <Template>Normal</Template>
  <TotalTime>219</TotalTime>
  <Pages>19</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