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menthe citronnée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2,4-dimethylcyclohex- 3-ene-1-carbaldehyde, citral, carvone (ISO); 2-methyl-5-(prop-1-en-2-yl)cyclohex-2-en-1-one, MENTHONE.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carvone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99-49-0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202-759-5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trans-menthone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89-80-5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201-941-1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(ATE=1500 mg/kg de peso corporal)</w:t>
              <w:br/>
              <w:t>Skin Irrit. 2, H315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Menta. Hesperidaceae.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mg/kg de peso corporal Animal: mouse, Guideline: other: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800 mg/kg de peso corporal Animal: rat, Animal sex: male,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671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menthe citronnée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20,973 mg/l Test organisms (species): other: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Pimephales promelas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2,5 mg/l Test organisms (species): other: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70 mg/l Test organisms (species): other: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13,399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menthe citronnée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carvone (99-49-0)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 ; trans-menthone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2,4-dimethylcyclohex- 3-ene-1-carbaldehyde, citral, carvone (ISO); 2-methyl-5-(prop-1-en-2-yl)cyclohex-2-en-1-one, MENTHONE.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menthe citronnée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menthe citronnée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05/06/2026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37471-899B-48BC-85E8-CC2902F351D6}"/>
</file>

<file path=customXml/itemProps3.xml><?xml version="1.0" encoding="utf-8"?>
<ds:datastoreItem xmlns:ds="http://schemas.openxmlformats.org/officeDocument/2006/customXml" ds:itemID="{90E6432B-51C5-4B06-9977-87D1980E9FF2}"/>
</file>

<file path=customXml/itemProps4.xml><?xml version="1.0" encoding="utf-8"?>
<ds:datastoreItem xmlns:ds="http://schemas.openxmlformats.org/officeDocument/2006/customXml" ds:itemID="{F5E6ED41-EDD7-409A-B54A-651139B30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