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maquis corse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geraniol; (2E)-3,7-dimethylocta-2,6-dien-1-ol, linalool, éter metílico de cedro, nerol,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4,0075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herbáceo.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de peso corporal Animal: rat, Animal sex: male, Guideline: OECD Guideline 401 (Acute Oral Toxicity), 95% CL: 3400 - 5600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de peso corporal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maquis corse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linalool ; nerol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geraniol; (2E)-3,7-dimethylocta-2,6-dien-1-ol, linalool, éter metílico de cedro, nerol,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maquis corse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D522E-1CCC-4402-BE95-77F035485D5D}"/>
</file>

<file path=customXml/itemProps3.xml><?xml version="1.0" encoding="utf-8"?>
<ds:datastoreItem xmlns:ds="http://schemas.openxmlformats.org/officeDocument/2006/customXml" ds:itemID="{71A3B8F8-F266-43F0-B219-BF3957C0FF4C}"/>
</file>

<file path=customXml/itemProps4.xml><?xml version="1.0" encoding="utf-8"?>
<ds:datastoreItem xmlns:ds="http://schemas.openxmlformats.org/officeDocument/2006/customXml" ds:itemID="{40CADF64-7662-4F78-9AEC-8180EB887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