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madera preciosa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39CDAC9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coumarin, HEXYL CINNAMAL.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Floral.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madera preciosa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madera preciosa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No contiene ninguna sustancia incluida en  el Anexo XVII de REACH (Condiciones de restricción)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coumarin, HEXYL CINNAMAL.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madera preciosa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madera preciosa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19/10/2026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64C05B-BB4F-4E52-923E-52D58D046A0E}"/>
</file>

<file path=customXml/itemProps3.xml><?xml version="1.0" encoding="utf-8"?>
<ds:datastoreItem xmlns:ds="http://schemas.openxmlformats.org/officeDocument/2006/customXml" ds:itemID="{6F54D4AB-AADC-43EE-8137-42E87C0C69F4}"/>
</file>

<file path=customXml/itemProps4.xml><?xml version="1.0" encoding="utf-8"?>
<ds:datastoreItem xmlns:ds="http://schemas.openxmlformats.org/officeDocument/2006/customXml" ds:itemID="{F93B5BB0-871C-4D3F-B913-4ABB9F3882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