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jasmin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(Z)-hex-3-enyl benzoate; linalool; 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P102 - Mantener fuera del alcance de los niños.</w:t>
              <w:br/>
              <w:t>P101 - En caso de consulta a un médico, tener a disposición el recipiente o la etiqueta.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(Z)-hex-3-enyl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25152-85-6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246-669-4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4,4a,5,9b-tetrahydroindeno[1,2-d]-1,3-dioxin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18096-62-3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241-997-4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jazmín. Floral. Animalizado.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56EA4DCA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ED44610" w14:textId="0BC3C6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909D2B" w14:textId="6A52223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 mg/kg de peso corporal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jasmin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94,9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jasmin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(Z)-hex-3-enyl benzoate ; linalool ; 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(Z)-hex-3-enyl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jasmin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jasmin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20/04/2026   Versión: 5.0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0CA47-CEFD-4087-95F9-4862290860B8}"/>
</file>

<file path=customXml/itemProps3.xml><?xml version="1.0" encoding="utf-8"?>
<ds:datastoreItem xmlns:ds="http://schemas.openxmlformats.org/officeDocument/2006/customXml" ds:itemID="{04F23505-1621-40E2-A5B1-9E8B854399FB}"/>
</file>

<file path=customXml/itemProps4.xml><?xml version="1.0" encoding="utf-8"?>
<ds:datastoreItem xmlns:ds="http://schemas.openxmlformats.org/officeDocument/2006/customXml" ds:itemID="{01711094-9543-4A98-88A2-46638602C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