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iris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pentadecan-15-olide; alpha-iso-methylionone; [3R-(3α,3aβ,6α,7β,8aα)]-octahydro-3,6,8,8-tetramethyl-1H-3a,7-methanoazulen-5-yl acetate; isoeugenol; 2-isopropoxyethyl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[3R-(3α,3aβ,7β,8aα)]-2,3,4,7,8,8a-hexahydro-3,8,8-trimethyl-1H-3a,7-methanoazulene-6-methyl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1405-92-1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215-789-9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Acute Tox. 4 (Cutánea), H312 (ATE=1100 mg/kg de peso corporal)</w:t>
              <w:br/>
              <w:t>Acute Tox. 4 (Inhalación), H332 (ATE=1,5 mg/l/4h)</w:t>
              <w:br/>
              <w:t>Skin Irrit. 2, H315</w:t>
              <w:br/>
              <w:t>Eye Irrit. 2, H319</w:t>
              <w:br/>
              <w:t>Skin Sens. 1A, H317</w:t>
              <w:br/>
              <w:t>STOT SE 3, H335</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α-pineno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Ámbar. Iridescente.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peso corporal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peso corporal Animal: rat, Animal sex: female, Guideline: OECD Guideline 423 (Acute Oral toxicity - Acute Toxic Class Method)</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 Guideline: EPA OPPTS 870.1200 (Acute Dermal Toxicity),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de peso corporal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Toxicidad específica en determinados órganos (STOT) – exposición única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Puede irritar las vías respiratorias.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peso corporal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iris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iris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[3R-(3α,3aβ,7β,8aα)]-2,3,4,7,8,8a-hexahydro-3,8,8-trimethyl-1H-3a,7-methanoazulene-6-methyl acetate (1405-92-1)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específica en determinados órganos – Exposición única, categoría 3, irritación de las vías respiratorias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irritar las vías respiratorias.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iris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iris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07/07/2026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07E5659-1508-451F-B377-895D1A9525D0}"/>
</file>

<file path=customXml/itemProps3.xml><?xml version="1.0" encoding="utf-8"?>
<ds:datastoreItem xmlns:ds="http://schemas.openxmlformats.org/officeDocument/2006/customXml" ds:itemID="{2B731563-BCAA-4B2F-A7A5-63ED7E71B968}"/>
</file>

<file path=customXml/itemProps4.xml><?xml version="1.0" encoding="utf-8"?>
<ds:datastoreItem xmlns:ds="http://schemas.openxmlformats.org/officeDocument/2006/customXml" ds:itemID="{34010DFB-52EC-4B5A-90D7-713CA315C41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