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de coquelicot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Nocivo para los organismos acuáticos, con efectos nocivos duraderos.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Nocivo para los organismos acuáticos, provoca efectos adversos a largo plazo.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P273 - Evitar la liberación al medio ambiente.</w:t>
              <w:br/>
              <w:t>P501 - Eliminar el contenido/el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3,7-dimethylnona-1,6-dien-3-ol, HYDROXYCITRONELLAL, alpha-iso-methylionone, citronellol, 1-(1,2,3,4,5,6,7,8-octahydro-2,3,8,8-tetramethyl-2-naphthyl)ethan-1-one, α-hexylcinnamaldehyde.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7-hydroxycitronellal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107-75-5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203-518-7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0,875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3,7-dimethylnona-1,6-dien-3-ol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10339-55-6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233-732-6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0,2625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citronellol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106-22-9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203-375-0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0,2625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0,2625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alpha-iso-methylionone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127-51-5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204-846-3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0,1575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2, H411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α-hexylcinnamaldehyde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101-86-0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202-983-3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0,1337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2, H411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Green. Afrutado. rocío.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6400 mg/kg de peso corporal Animal: rat, Guideline: OECD Guideline 401 (Acute Oral Toxicity)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rabbit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(crónico, oral, animal/macho, 2 años)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de peso corporal Animal: mouse, Animal sex: male, Guideline: OECD Guideline 453 (Combined Chronic Toxicity / 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de peso corporal Animal: rat, Guideline: OECD Guideline 453 (Combined Chronic Toxicity / Carcinogenicity Studies)</w:t>
            </w:r>
          </w:p>
        </w:tc>
      </w:tr>
      <w:tr w14:paraId="6B0A5EE8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7C20CFC" w14:textId="6F7047D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animal/macho,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5A78E587" w14:textId="4F8C43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de peso corporal Animal: mouse, Animal sex: male, Guideline: OECD Guideline 453 (Combined Chronic Toxicity / Carcinogenicity Studies)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de coquelicot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Nocivo para los organismos acuáticos, con efectos nocivos duraderos.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31,6 mg/l Test organisms (species): Leuciscus idus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410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123,32 mg/l Test organisms (species): Desmodesmus subspicatus (previous name: Scenedesmus subspicatus)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de coquelicot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3,7-dimethylnona-1,6-dien-3-ol (10339-55-6)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alpha-iso-methylionone (127-51-5)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α-hexylcinnamaldehyde (101-86-0)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“Ecotóxico”: corresponde a los residuos que presentan o pueden presentar riesgos inmediatos o diferidos para uno o más compartimentos del medio ambiente.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p w:rsidR="00A65092" w:rsidRPr="0069446B" w:rsidP="00A65092" w14:paraId="1965DBDA" w14:textId="0FFE3A91">
      <w:pPr>
        <w:pStyle w:val="SDSTextNormal"/>
      </w:pPr>
      <w:r>
        <w:rPr>
          <w:noProof/>
        </w:rPr>
        <w:t>No contiene ninguna sustancia incluida en  el Anexo XVII de REACH (Condiciones de restricción)</w:t>
      </w:r>
    </w:p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3,7-dimethylnona-1,6-dien-3-ol, HYDROXYCITRONELLAL, alpha-iso-methylionone, citronellol, 1-(1,2,3,4,5,6,7,8-octahydro-2,3,8,8-tetramethyl-2-naphthyl)ethan-1-one, α-hexylcinnamaldehyde. Puede producir una reacción alérgica.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27/03/2026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10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10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27/03/2026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10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de coquelicot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de coquelicot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27/03/2026   Versión: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0E60C6-6F19-4E1F-8259-F49E154AF4AD}"/>
</file>

<file path=customXml/itemProps3.xml><?xml version="1.0" encoding="utf-8"?>
<ds:datastoreItem xmlns:ds="http://schemas.openxmlformats.org/officeDocument/2006/customXml" ds:itemID="{EEE9B217-3F32-458E-87E1-0EACBC33330A}"/>
</file>

<file path=customXml/itemProps4.xml><?xml version="1.0" encoding="utf-8"?>
<ds:datastoreItem xmlns:ds="http://schemas.openxmlformats.org/officeDocument/2006/customXml" ds:itemID="{90D4C429-9254-4065-AD04-1B48B7FCA0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10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