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cinnamon roll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cinnamaldehyde; Alcool benzylique; coumarin; Eugenol; 4-hydroxy-2,5-dimethylfuran-2(3H)-one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agua y jabón.</w:t>
              <w:br/>
              <w:t>P333+P313 - En caso de irritación o erupción cutánea: consultar a un médico.</w:t>
              <w:br/>
              <w:t>P501 - Eliminar el contenido y 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0,7059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(ATE=1580 mg/kg de peso corporal)</w:t>
              <w:br/>
              <w:t>Acute Tox. 4 (Inhalación), H332 (ATE=1,5 mg/l/4h)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1B, H314</w:t>
              <w:br/>
              <w:t>Eye Dam. 1, H318</w:t>
              <w:br/>
              <w:t>Skin Sens. 1A,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Picante. Vainilla.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male, Guideline: OECD Guideline 423 (Acute Oral toxicity - Acute Toxic Class Method)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de peso corporal Animal: mouse, Animal sex: 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de peso corporal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de peso corporal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animal/macho,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de peso corporal Animal: mouse, Animal sex: male, Guideline: other:</w:t>
            </w:r>
          </w:p>
        </w:tc>
      </w:tr>
      <w:tr w14:paraId="72CFCC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de peso corporal Animal: mouse, Animal sex: female,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cinnamon roll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cinnamon roll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benzaldehyde ; Alcool benzylique ; Eugenol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inhalación.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01/10/2026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01/10/2026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cinnamon roll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cinnamon roll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01/10/2026   Versión: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4B8C5C-3DFF-48AB-9391-3DB2555CE495}"/>
</file>

<file path=customXml/itemProps3.xml><?xml version="1.0" encoding="utf-8"?>
<ds:datastoreItem xmlns:ds="http://schemas.openxmlformats.org/officeDocument/2006/customXml" ds:itemID="{5E453919-B68E-4F7F-BFA3-01A12E7D4949}"/>
</file>

<file path=customXml/itemProps4.xml><?xml version="1.0" encoding="utf-8"?>
<ds:datastoreItem xmlns:ds="http://schemas.openxmlformats.org/officeDocument/2006/customXml" ds:itemID="{942A84A1-5A7B-430C-A1BB-84FC40E9C6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