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de cidre cannelle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Peligroso para el medio acuático - Peligro crónico, categoría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Puede provocar una reacción alérgica en la piel. Nocivo para los organismos acuáticos, con efectos nocivos duraderos.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Eugenol; 1-(2,6,6-trimethyl-3-cyclohexen-1-yl)-2-buten-1-one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Puede provocar una alergia cutánea.</w:t>
              <w:br/>
              <w:t>H412 - Nocivo para los organismos acuáticos, provoca efectos adversos a largo plazo.</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P273 - Evitar la liberación al medio ambiente.</w:t>
              <w:br/>
              <w:t>P302+P352 - EN CASO DE CONTACTO CON LA PIEL: Lavar abundantemente agua y jabón.</w:t>
              <w:br/>
              <w:t>P333+P313 - En caso de irritación o erupción cutánea: consultar a un médico.</w:t>
              <w:br/>
              <w:t>P501 - Eliminar el contenido y 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2,741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de peso corporal)</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acetate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140-11-4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205-399-7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0,194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0,0324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(Cutánea), H312 (ATE=1260 mg/kg de peso corporal)</w:t>
              <w:br/>
              <w:t>Skin Irrit. 2, H315</w:t>
              <w:br/>
              <w:t>Eye Irrit. 2, H319</w:t>
              <w:br/>
              <w:t>Skin Sens. 1A, H317</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Skin Irrit. 2, H315</w:t>
              <w:br/>
              <w:t>Skin Sens. 1A, H317</w:t>
              <w:br/>
              <w:t>Aquatic Acute 1, H400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1B, H317</w:t>
              <w:br/>
              <w:t>Asp. Tox. 1, H304</w:t>
              <w:br/>
              <w:t>Aquatic Acute 1, H400</w:t>
              <w:br/>
              <w:t>Aquatic Chronic 1, H410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Límites de concentración específicos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Identificador de producto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Límites de concentración específicos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d-Limoneno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citral</w:t>
            </w:r>
            <w:r w:rsidRPr="0069446B">
              <w:rPr>
                <w:noProof w:val="0"/>
                <w:color w:val="auto"/>
              </w:rPr>
              <w:t xml:space="preserve"> </w:t>
            </w:r>
            <w:r w:rsidRPr="0069446B" w:rsidR="00FD53E4">
              <w:rPr>
                <w:noProof/>
                <w:color w:val="auto"/>
              </w:rPr>
              <w:t>(5392-40-5)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Citral</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 Sen (Sensibilizante), FIV (Fracción inhalable y vapor. La notación FIV señala a aquellos agentes químicos que se pueden presentar en el ambiente de trabajo, tanto en forma de materia particulada como vapor, por lo que las dos fases pueden coexistir, contribuyendo ambas a la exposición. Esta situación se puede dar, principalmente, en los siguientes casos: • Cuando el agente en cuestión tiene un valor “intermedio” de presión de vapor (en estos casos se tiene en cuenta la relación entre su concentración en el aire saturado de vapor y el valor del VLA-ED® y la nota se asigna, generalmente, cuando el cociente entre ambas cantidades se encuentra entre 0.1 y 10). • Por razón de la forma de uso del agente químico (por ejemplo, pulverización). • En los procesos que conlleven cambios importantes de temperatura que puedan afectar al estado físico del agente químico. • En los procesos en los que una fracción significativa del vapor puede disolverse o adsorberse en las partículas de otra sustancia, a semejanza de lo que ocurre con los agentes solubles en agua en ambientes con humedad elevada).</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acetate</w:t>
            </w:r>
            <w:r w:rsidRPr="0069446B">
              <w:rPr>
                <w:noProof w:val="0"/>
                <w:color w:val="auto"/>
              </w:rPr>
              <w:t xml:space="preserve"> </w:t>
            </w:r>
            <w:r w:rsidRPr="0069446B" w:rsidR="00FD53E4">
              <w:rPr>
                <w:noProof/>
                <w:color w:val="auto"/>
              </w:rPr>
              <w:t>(140-11-4)</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Acetato de bencilo</w:t>
            </w:r>
          </w:p>
        </w:tc>
      </w:tr>
      <w:tr w14:paraId="70951C43"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62 mg/m³</w:t>
            </w:r>
          </w:p>
        </w:tc>
      </w:tr>
      <w:tr w14:paraId="70951C44"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ppm</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pin-2(3)-ene</w:t>
            </w:r>
            <w:r w:rsidRPr="0069446B">
              <w:rPr>
                <w:noProof w:val="0"/>
                <w:color w:val="auto"/>
              </w:rPr>
              <w:t xml:space="preserve"> </w:t>
            </w:r>
            <w:r w:rsidRPr="0069446B" w:rsidR="00FD53E4">
              <w:rPr>
                <w:noProof/>
                <w:color w:val="auto"/>
              </w:rPr>
              <w:t>(80-56-8)</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47"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8"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Afrutado. Picante. Green.</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peso corporal Animal: rat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acetate (140-11-4)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peso corporal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peso corporal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de peso corporal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Inhalación - Rata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de peso corporal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pin-2(3)-ene (80-56-8)</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peso corporal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de peso corporal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 900 mg/kg de peso corporal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(subcrónico, oral, animal/hembra,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de peso corporal Animal: mouse, Animal sex: female,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de cidre cannelle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Nocivo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para los organismos acuáticos, provoca efectos adversos a largo plazo.</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d-limonene (5989-27-5)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acetate (140-11-4)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 mg/l Test organisms (species): Oryzias latipes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110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92 mg/l Test organisms (species): Desmodesmus subspicatus (previous name: Scenedesmus subspicatus)</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0,92 mg/l Test organisms (species): Oryzias latipes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de cidre cannelle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d-limonene (5989-27-5)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acetate (140-11-4)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1-(2,6,6-trimethyl-3-cyclohexen-1-yl)-2-buten-1-one (57378-68-4)</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citral ; cinnamaldehyde ; benzyl benzoate ; Eugenol ; pin-2(3)-ene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benzyl acetate ; cinnamaldehyde ; benzyl benzoate ; pin-2(3)-ene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(Cutánea)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(cutánea),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contacto con la piel.</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20/10/2026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20/10/2026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de cidre cannelle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de cidre cannelle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(EU) 2020/878</w:t>
          </w:r>
        </w:p>
        <w:p w:rsidR="009C6C12" w:rsidRPr="008F5B08" w:rsidP="00FD6B1D" w14:paraId="512A27C2" w14:textId="1FF61BD5">
          <w:pPr>
            <w:pStyle w:val="SDSTableTextHeader"/>
          </w:pPr>
          <w:r>
            <w:rPr>
              <w:noProof/>
            </w:rPr>
            <w:t>Fecha de emisión: 20/10/2026   Versión: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E8E249B-1112-4281-8614-83AAFD90718F}"/>
</file>

<file path=customXml/itemProps3.xml><?xml version="1.0" encoding="utf-8"?>
<ds:datastoreItem xmlns:ds="http://schemas.openxmlformats.org/officeDocument/2006/customXml" ds:itemID="{D938CCD7-DC27-4743-B44E-3B9330FE9F64}"/>
</file>

<file path=customXml/itemProps4.xml><?xml version="1.0" encoding="utf-8"?>
<ds:datastoreItem xmlns:ds="http://schemas.openxmlformats.org/officeDocument/2006/customXml" ds:itemID="{4A57891A-B000-4727-B3BB-A92BFE962DCD}"/>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