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cèdre du Liban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TETRAHYDROLINALOOL, CEDRYL ACETATE, ALPHA-METHYL-BETA-IONONE, ALPHA-ISOMETHYL IONONE.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3-methyl-4-(2,6,6-trimethyl-2-cyclohexen-1-yl)-3-buten-2-one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1-(2,6,6-trimethyl-1-cyclohexen-1-yl)pent-1-en-3-one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127-43-5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Leñoso.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de peso corporal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de peso corporal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cèdre du Liban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cèdre du Liban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1-(2,6,6-trimethyl-1-cyclohexen-1-yl)pent-1-en-3-one (127-43-5)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3,7-dimethyloctan-3-ol ; [3R-(3α,3aβ,6α,7β,8aα)]-octahydro-3,6,8,8-tetramethyl-1H-3a,7-methanoazulen-5-yl acetate ; 3-methyl-4-(2,6,6-trimethyl-2-cyclohexen-1-yl)-3-buten-2-one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[3R-(3α,3aβ,6α,7β,8aα)]-octahydro-3,6,8,8-tetramethyl-1H-3a,7-methanoazulen-5-yl acetate ; 3-methyl-4-(2,6,6-trimethyl-2-cyclohexen-1-yl)-3-buten-2-one ; 1,4-dioxacycloheptadecane-5,17-dione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TETRAHYDROLINALOOL, CEDRYL ACETATE, ALPHA-METHYL-BETA-IONONE, ALPHA-ISOMETHYL IONONE.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cèdre du Liban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cèdre du Liban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14/09/2026   Versión: 5.0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AFF7EC-86AC-4A19-ADEA-47CAF2AD7887}"/>
</file>

<file path=customXml/itemProps3.xml><?xml version="1.0" encoding="utf-8"?>
<ds:datastoreItem xmlns:ds="http://schemas.openxmlformats.org/officeDocument/2006/customXml" ds:itemID="{7646B34C-BF42-489C-94F7-26B587064454}"/>
</file>

<file path=customXml/itemProps4.xml><?xml version="1.0" encoding="utf-8"?>
<ds:datastoreItem xmlns:ds="http://schemas.openxmlformats.org/officeDocument/2006/customXml" ds:itemID="{25809417-0A62-4113-A22C-C9F85151A6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