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basilic frais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3-(p-methoxyphenyl)-2-methylpropionaldehyde; hexyl salicylate; l-p-mentha-1(6),8-dien-2-one; linalool; cineole; citral; isoeugenol; α-hexylcinnamaldehyde; (E)-anethole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3-(p-methoxyphenyl)-2-methylpropionaldehyde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5462-06-6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226-749-5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(E)-anethole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4180-23-8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224-052-0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hexyl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6259-76-3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228-408-6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Repr. 2, H361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l-p-mentha-1(6),8-dien-2-one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6485-40-1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229-352-5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606-148-00-8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aromático.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4000 mg/kg de peso corporal Animal: rat, Animal sex: male, Guideline: OECD Guideline 401 (Acute Oral Toxicity), 95% CL: 3400 - 4600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l-p-mentha-1(6),8-dien-2-one (6485-40-1)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other: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6,45 mg/l air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1420 – 3070 mg/kg de peso corporal Animal: rat, 95% CL: 2090 -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4900 mg/kg de peso corporal Animal: rabbit, Guideline: EU Method B.3 (Acute Toxicity (Dermal))</w:t>
            </w:r>
          </w:p>
        </w:tc>
      </w:tr>
      <w:tr w14:paraId="05EDDE1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5,1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l-p-mentha-1(6),8-dien-2-one (6485-40-1)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5,62 Temp.: 26 °C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l-p-mentha-1(6),8-dien-2-one (6485-40-1)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5,62 Temp.: 26 °C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de peso corporal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≈ 300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basilic frais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l-p-mentha-1(6),8-dien-2-one (6485-40-1)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6,1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7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4,25 mg/l Test organisms (species): Daphnia magna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2,44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1,05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basilic frais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l-p-mentha-1(6),8-dien-2-one (6485-40-1)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3-(p-methoxyphenyl)-2-methylpropionaldehyde ; linalool ; cineole ; isoeugenol ; (E)-anethole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basilic frais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basilic frais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11/06/2026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DF8E2-BA61-4B93-8D1F-0B8BB206D595}"/>
</file>

<file path=customXml/itemProps3.xml><?xml version="1.0" encoding="utf-8"?>
<ds:datastoreItem xmlns:ds="http://schemas.openxmlformats.org/officeDocument/2006/customXml" ds:itemID="{12B56839-E915-4866-AFD7-54701200FA55}"/>
</file>

<file path=customXml/itemProps4.xml><?xml version="1.0" encoding="utf-8"?>
<ds:datastoreItem xmlns:ds="http://schemas.openxmlformats.org/officeDocument/2006/customXml" ds:itemID="{21ADA3A9-9394-44B5-972B-47CB0949D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